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440" w:lineRule="exact"/>
        <w:jc w:val="left"/>
        <w:rPr>
          <w:rFonts w:asciiTheme="minorEastAsia" w:hAnsiTheme="minorEastAsia" w:eastAsiaTheme="minorEastAsia"/>
          <w:b/>
          <w:sz w:val="30"/>
          <w:szCs w:val="30"/>
        </w:rPr>
      </w:pPr>
    </w:p>
    <w:p>
      <w:pPr>
        <w:spacing w:line="440" w:lineRule="exact"/>
        <w:jc w:val="center"/>
        <w:rPr>
          <w:rFonts w:asciiTheme="minorEastAsia" w:hAnsiTheme="minorEastAsia" w:eastAsiaTheme="minorEastAsia"/>
          <w:b/>
          <w:sz w:val="30"/>
          <w:szCs w:val="30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1200" w:lineRule="exact"/>
        <w:jc w:val="center"/>
        <w:rPr>
          <w:rFonts w:ascii="微软雅黑" w:hAnsi="微软雅黑" w:eastAsia="微软雅黑"/>
          <w:b/>
          <w:bCs/>
          <w:sz w:val="72"/>
          <w:szCs w:val="56"/>
        </w:rPr>
      </w:pPr>
      <w:bookmarkStart w:id="0" w:name="_Toc72414728"/>
      <w:bookmarkStart w:id="1" w:name="_Toc72414607"/>
      <w:r>
        <w:rPr>
          <w:rFonts w:hint="eastAsia" w:ascii="微软雅黑" w:hAnsi="微软雅黑" w:eastAsia="微软雅黑"/>
          <w:b/>
          <w:bCs/>
          <w:sz w:val="72"/>
          <w:szCs w:val="56"/>
        </w:rPr>
        <w:t>中药制药专业人才培养方案</w:t>
      </w:r>
      <w:bookmarkEnd w:id="0"/>
      <w:bookmarkEnd w:id="1"/>
    </w:p>
    <w:p>
      <w:pPr>
        <w:spacing w:line="1200" w:lineRule="exact"/>
        <w:jc w:val="center"/>
        <w:rPr>
          <w:rFonts w:ascii="微软雅黑" w:hAnsi="微软雅黑" w:eastAsia="微软雅黑"/>
          <w:sz w:val="48"/>
          <w:szCs w:val="44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spacing w:line="440" w:lineRule="exact"/>
        <w:rPr>
          <w:rFonts w:asciiTheme="minorEastAsia" w:hAnsiTheme="minorEastAsia" w:eastAsiaTheme="minorEastAsia"/>
        </w:rPr>
      </w:pPr>
    </w:p>
    <w:sdt>
      <w:sdtPr>
        <w:rPr>
          <w:rFonts w:cs="Times New Roman" w:asciiTheme="minorEastAsia" w:hAnsiTheme="minorEastAsia" w:eastAsiaTheme="minorEastAsia"/>
          <w:color w:val="auto"/>
          <w:kern w:val="2"/>
          <w:sz w:val="21"/>
          <w:szCs w:val="20"/>
          <w:lang w:val="zh-CN"/>
        </w:rPr>
        <w:id w:val="1630125579"/>
        <w:docPartObj>
          <w:docPartGallery w:val="Table of Contents"/>
          <w:docPartUnique/>
        </w:docPartObj>
      </w:sdtPr>
      <w:sdtEndPr>
        <w:rPr>
          <w:rFonts w:cs="Times New Roman" w:asciiTheme="minorEastAsia" w:hAnsiTheme="minorEastAsia" w:eastAsiaTheme="minorEastAsia"/>
          <w:b/>
          <w:bCs/>
          <w:color w:val="auto"/>
          <w:kern w:val="2"/>
          <w:sz w:val="21"/>
          <w:szCs w:val="20"/>
          <w:lang w:val="zh-CN"/>
        </w:rPr>
      </w:sdtEndPr>
      <w:sdtContent>
        <w:p>
          <w:pPr>
            <w:pStyle w:val="41"/>
            <w:tabs>
              <w:tab w:val="left" w:pos="1624"/>
              <w:tab w:val="center" w:pos="4845"/>
            </w:tabs>
            <w:spacing w:line="440" w:lineRule="exact"/>
            <w:rPr>
              <w:rFonts w:asciiTheme="minorEastAsia" w:hAnsiTheme="minorEastAsia" w:eastAsiaTheme="minorEastAsia"/>
              <w:color w:val="auto"/>
            </w:rPr>
          </w:pPr>
          <w:r>
            <w:rPr>
              <w:rFonts w:cs="Times New Roman" w:asciiTheme="minorEastAsia" w:hAnsiTheme="minorEastAsia" w:eastAsiaTheme="minorEastAsia"/>
              <w:color w:val="auto"/>
              <w:kern w:val="2"/>
              <w:sz w:val="21"/>
              <w:szCs w:val="20"/>
              <w:lang w:val="zh-CN"/>
            </w:rPr>
            <w:tab/>
          </w:r>
          <w:r>
            <w:rPr>
              <w:rFonts w:cs="Times New Roman" w:asciiTheme="minorEastAsia" w:hAnsiTheme="minorEastAsia" w:eastAsiaTheme="minorEastAsia"/>
              <w:color w:val="auto"/>
              <w:kern w:val="2"/>
              <w:sz w:val="21"/>
              <w:szCs w:val="20"/>
              <w:lang w:val="zh-CN"/>
            </w:rPr>
            <w:tab/>
          </w:r>
          <w:r>
            <w:rPr>
              <w:rFonts w:asciiTheme="minorEastAsia" w:hAnsiTheme="minorEastAsia" w:eastAsiaTheme="minorEastAsia"/>
              <w:color w:val="auto"/>
              <w:lang w:val="zh-CN"/>
            </w:rPr>
            <w:t>目录</w:t>
          </w:r>
        </w:p>
        <w:p>
          <w:pPr>
            <w:pStyle w:val="16"/>
            <w:tabs>
              <w:tab w:val="right" w:leader="dot" w:pos="9680"/>
            </w:tabs>
            <w:ind w:left="407"/>
            <w:rPr>
              <w:rFonts w:asciiTheme="minorHAnsi" w:hAnsiTheme="minorHAnsi" w:eastAsiaTheme="minorEastAsia" w:cstheme="minorBidi"/>
              <w:szCs w:val="22"/>
            </w:rPr>
          </w:pPr>
          <w:r>
            <w:rPr>
              <w:rFonts w:asciiTheme="minorEastAsia" w:hAnsiTheme="minorEastAsia" w:eastAsiaTheme="minorEastAsia"/>
            </w:rPr>
            <w:fldChar w:fldCharType="begin"/>
          </w:r>
          <w:r>
            <w:rPr>
              <w:rFonts w:asciiTheme="minorEastAsia" w:hAnsiTheme="minorEastAsia" w:eastAsiaTheme="minorEastAsia"/>
            </w:rPr>
            <w:instrText xml:space="preserve"> TOC \o "1-3" \h \z \u </w:instrText>
          </w:r>
          <w:r>
            <w:rPr>
              <w:rFonts w:asciiTheme="minorEastAsia" w:hAnsiTheme="minorEastAsia" w:eastAsiaTheme="minorEastAsia"/>
            </w:rPr>
            <w:fldChar w:fldCharType="separate"/>
          </w:r>
          <w:r>
            <w:fldChar w:fldCharType="begin"/>
          </w:r>
          <w:r>
            <w:instrText xml:space="preserve"> HYPERLINK \l "_Toc99454605" </w:instrText>
          </w:r>
          <w:r>
            <w:fldChar w:fldCharType="separate"/>
          </w:r>
          <w:r>
            <w:rPr>
              <w:rStyle w:val="22"/>
              <w:rFonts w:ascii="黑体" w:hAnsi="黑体"/>
            </w:rPr>
            <w:t>一、专业名称及代码</w:t>
          </w:r>
          <w:r>
            <w:tab/>
          </w:r>
          <w:r>
            <w:fldChar w:fldCharType="begin"/>
          </w:r>
          <w:r>
            <w:instrText xml:space="preserve"> PAGEREF _Toc99454605 \h </w:instrText>
          </w:r>
          <w:r>
            <w:fldChar w:fldCharType="separate"/>
          </w:r>
          <w:r>
            <w:t>- 1 -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9680"/>
            </w:tabs>
            <w:ind w:left="407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"_Toc99454606" </w:instrText>
          </w:r>
          <w:r>
            <w:fldChar w:fldCharType="separate"/>
          </w:r>
          <w:r>
            <w:rPr>
              <w:rStyle w:val="22"/>
              <w:rFonts w:ascii="黑体" w:hAnsi="黑体"/>
            </w:rPr>
            <w:t>二、入学要求</w:t>
          </w:r>
          <w:r>
            <w:tab/>
          </w:r>
          <w:r>
            <w:fldChar w:fldCharType="begin"/>
          </w:r>
          <w:r>
            <w:instrText xml:space="preserve"> PAGEREF _Toc99454606 \h </w:instrText>
          </w:r>
          <w:r>
            <w:fldChar w:fldCharType="separate"/>
          </w:r>
          <w:r>
            <w:t>- 1 -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9680"/>
            </w:tabs>
            <w:ind w:left="407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"_Toc99454607" </w:instrText>
          </w:r>
          <w:r>
            <w:fldChar w:fldCharType="separate"/>
          </w:r>
          <w:r>
            <w:rPr>
              <w:rStyle w:val="22"/>
              <w:rFonts w:ascii="黑体" w:hAnsi="黑体"/>
            </w:rPr>
            <w:t>三、修业年限</w:t>
          </w:r>
          <w:r>
            <w:tab/>
          </w:r>
          <w:r>
            <w:fldChar w:fldCharType="begin"/>
          </w:r>
          <w:r>
            <w:instrText xml:space="preserve"> PAGEREF _Toc99454607 \h </w:instrText>
          </w:r>
          <w:r>
            <w:fldChar w:fldCharType="separate"/>
          </w:r>
          <w:r>
            <w:t>- 1 -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9680"/>
            </w:tabs>
            <w:ind w:left="407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"_Toc99454608" </w:instrText>
          </w:r>
          <w:r>
            <w:fldChar w:fldCharType="separate"/>
          </w:r>
          <w:r>
            <w:rPr>
              <w:rStyle w:val="22"/>
              <w:rFonts w:ascii="黑体" w:hAnsi="黑体"/>
            </w:rPr>
            <w:t>四、职业面向</w:t>
          </w:r>
          <w:r>
            <w:tab/>
          </w:r>
          <w:r>
            <w:fldChar w:fldCharType="begin"/>
          </w:r>
          <w:r>
            <w:instrText xml:space="preserve"> PAGEREF _Toc99454608 \h </w:instrText>
          </w:r>
          <w:r>
            <w:fldChar w:fldCharType="separate"/>
          </w:r>
          <w:r>
            <w:t>- 1 -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9680"/>
            </w:tabs>
            <w:ind w:left="407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"_Toc99454609" </w:instrText>
          </w:r>
          <w:r>
            <w:fldChar w:fldCharType="separate"/>
          </w:r>
          <w:r>
            <w:rPr>
              <w:rStyle w:val="22"/>
              <w:rFonts w:ascii="黑体" w:hAnsi="黑体"/>
            </w:rPr>
            <w:t>五、培养目标与培养规格</w:t>
          </w:r>
          <w:r>
            <w:tab/>
          </w:r>
          <w:r>
            <w:fldChar w:fldCharType="begin"/>
          </w:r>
          <w:r>
            <w:instrText xml:space="preserve"> PAGEREF _Toc99454609 \h </w:instrText>
          </w:r>
          <w:r>
            <w:fldChar w:fldCharType="separate"/>
          </w:r>
          <w:r>
            <w:t>- 1 -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9680"/>
            </w:tabs>
            <w:ind w:left="814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"_Toc99454610" </w:instrText>
          </w:r>
          <w:r>
            <w:fldChar w:fldCharType="separate"/>
          </w:r>
          <w:r>
            <w:rPr>
              <w:rStyle w:val="22"/>
              <w:rFonts w:cs="黑体" w:asciiTheme="minorEastAsia" w:hAnsiTheme="minorEastAsia"/>
            </w:rPr>
            <w:t>（一）培养目标</w:t>
          </w:r>
          <w:r>
            <w:tab/>
          </w:r>
          <w:r>
            <w:fldChar w:fldCharType="begin"/>
          </w:r>
          <w:r>
            <w:instrText xml:space="preserve"> PAGEREF _Toc99454610 \h </w:instrText>
          </w:r>
          <w:r>
            <w:fldChar w:fldCharType="separate"/>
          </w:r>
          <w:r>
            <w:t>- 1 -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9680"/>
            </w:tabs>
            <w:ind w:left="814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"_Toc99454611" </w:instrText>
          </w:r>
          <w:r>
            <w:fldChar w:fldCharType="separate"/>
          </w:r>
          <w:r>
            <w:rPr>
              <w:rStyle w:val="22"/>
              <w:rFonts w:cs="黑体" w:asciiTheme="minorEastAsia" w:hAnsiTheme="minorEastAsia"/>
            </w:rPr>
            <w:t>（二）培养规格</w:t>
          </w:r>
          <w:r>
            <w:tab/>
          </w:r>
          <w:r>
            <w:fldChar w:fldCharType="begin"/>
          </w:r>
          <w:r>
            <w:instrText xml:space="preserve"> PAGEREF _Toc99454611 \h </w:instrText>
          </w:r>
          <w:r>
            <w:fldChar w:fldCharType="separate"/>
          </w:r>
          <w:r>
            <w:t>- 2 -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9680"/>
            </w:tabs>
            <w:ind w:left="407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"_Toc99454612" </w:instrText>
          </w:r>
          <w:r>
            <w:fldChar w:fldCharType="separate"/>
          </w:r>
          <w:r>
            <w:rPr>
              <w:rStyle w:val="22"/>
              <w:rFonts w:ascii="黑体" w:hAnsi="黑体"/>
            </w:rPr>
            <w:t>六、课程设置与要求</w:t>
          </w:r>
          <w:r>
            <w:tab/>
          </w:r>
          <w:r>
            <w:fldChar w:fldCharType="begin"/>
          </w:r>
          <w:r>
            <w:instrText xml:space="preserve"> PAGEREF _Toc99454612 \h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9680"/>
            </w:tabs>
            <w:ind w:left="814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"_Toc99454613" </w:instrText>
          </w:r>
          <w:r>
            <w:fldChar w:fldCharType="separate"/>
          </w:r>
          <w:r>
            <w:rPr>
              <w:rStyle w:val="22"/>
              <w:rFonts w:cs="黑体" w:asciiTheme="minorEastAsia" w:hAnsiTheme="minorEastAsia"/>
            </w:rPr>
            <w:t>（一） 公共基础课程</w:t>
          </w:r>
          <w:r>
            <w:tab/>
          </w:r>
          <w:r>
            <w:fldChar w:fldCharType="begin"/>
          </w:r>
          <w:r>
            <w:instrText xml:space="preserve"> PAGEREF _Toc99454613 \h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9680"/>
            </w:tabs>
            <w:ind w:left="814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"_Toc99454614" </w:instrText>
          </w:r>
          <w:r>
            <w:fldChar w:fldCharType="separate"/>
          </w:r>
          <w:r>
            <w:rPr>
              <w:rStyle w:val="22"/>
              <w:rFonts w:cs="黑体" w:asciiTheme="minorEastAsia" w:hAnsiTheme="minorEastAsia"/>
            </w:rPr>
            <w:t>（二） 专业技能课程</w:t>
          </w:r>
          <w:r>
            <w:tab/>
          </w:r>
          <w:r>
            <w:fldChar w:fldCharType="begin"/>
          </w:r>
          <w:r>
            <w:instrText xml:space="preserve"> PAGEREF _Toc99454614 \h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9680"/>
            </w:tabs>
            <w:ind w:left="814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"_Toc99454615" </w:instrText>
          </w:r>
          <w:r>
            <w:fldChar w:fldCharType="separate"/>
          </w:r>
          <w:r>
            <w:rPr>
              <w:rStyle w:val="22"/>
              <w:rFonts w:cs="黑体" w:asciiTheme="minorEastAsia" w:hAnsiTheme="minorEastAsia"/>
            </w:rPr>
            <w:t>（三） 选修课</w:t>
          </w:r>
          <w:r>
            <w:tab/>
          </w:r>
          <w:r>
            <w:fldChar w:fldCharType="begin"/>
          </w:r>
          <w:r>
            <w:instrText xml:space="preserve"> PAGEREF _Toc99454615 \h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9680"/>
            </w:tabs>
            <w:ind w:left="814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"_Toc99454616" </w:instrText>
          </w:r>
          <w:r>
            <w:fldChar w:fldCharType="separate"/>
          </w:r>
          <w:r>
            <w:rPr>
              <w:rStyle w:val="22"/>
              <w:rFonts w:cs="黑体" w:asciiTheme="minorEastAsia" w:hAnsiTheme="minorEastAsia"/>
            </w:rPr>
            <w:t>（四） 综合实践课</w:t>
          </w:r>
          <w:r>
            <w:tab/>
          </w:r>
          <w:r>
            <w:fldChar w:fldCharType="begin"/>
          </w:r>
          <w:r>
            <w:instrText xml:space="preserve"> PAGEREF _Toc99454616 \h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9680"/>
            </w:tabs>
            <w:ind w:left="407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"_Toc99454617" </w:instrText>
          </w:r>
          <w:r>
            <w:fldChar w:fldCharType="separate"/>
          </w:r>
          <w:r>
            <w:rPr>
              <w:rStyle w:val="22"/>
              <w:rFonts w:ascii="黑体" w:hAnsi="黑体"/>
            </w:rPr>
            <w:t>七、教学进程总体安排</w:t>
          </w:r>
          <w:r>
            <w:tab/>
          </w:r>
          <w:r>
            <w:fldChar w:fldCharType="begin"/>
          </w:r>
          <w:r>
            <w:instrText xml:space="preserve"> PAGEREF _Toc99454617 \h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9680"/>
            </w:tabs>
            <w:ind w:left="407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"_Toc99454618" </w:instrText>
          </w:r>
          <w:r>
            <w:fldChar w:fldCharType="separate"/>
          </w:r>
          <w:r>
            <w:rPr>
              <w:rStyle w:val="22"/>
              <w:rFonts w:ascii="黑体" w:hAnsi="黑体"/>
            </w:rPr>
            <w:t>八、实施保障</w:t>
          </w:r>
          <w:r>
            <w:tab/>
          </w:r>
          <w:r>
            <w:fldChar w:fldCharType="begin"/>
          </w:r>
          <w:r>
            <w:instrText xml:space="preserve"> PAGEREF _Toc99454618 \h </w:instrText>
          </w:r>
          <w:r>
            <w:fldChar w:fldCharType="separate"/>
          </w:r>
          <w:r>
            <w:t>- 11 -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9680"/>
            </w:tabs>
            <w:ind w:left="814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"_Toc99454619" </w:instrText>
          </w:r>
          <w:r>
            <w:fldChar w:fldCharType="separate"/>
          </w:r>
          <w:r>
            <w:rPr>
              <w:rStyle w:val="22"/>
              <w:rFonts w:cs="黑体" w:asciiTheme="minorEastAsia" w:hAnsiTheme="minorEastAsia"/>
            </w:rPr>
            <w:t>（一） 师资队伍</w:t>
          </w:r>
          <w:r>
            <w:tab/>
          </w:r>
          <w:r>
            <w:fldChar w:fldCharType="begin"/>
          </w:r>
          <w:r>
            <w:instrText xml:space="preserve"> PAGEREF _Toc99454619 \h </w:instrText>
          </w:r>
          <w:r>
            <w:fldChar w:fldCharType="separate"/>
          </w:r>
          <w:r>
            <w:t>- 11 -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9680"/>
            </w:tabs>
            <w:ind w:left="814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"_Toc99454620" </w:instrText>
          </w:r>
          <w:r>
            <w:fldChar w:fldCharType="separate"/>
          </w:r>
          <w:r>
            <w:rPr>
              <w:rStyle w:val="22"/>
              <w:rFonts w:cs="黑体" w:asciiTheme="minorEastAsia" w:hAnsiTheme="minorEastAsia"/>
            </w:rPr>
            <w:t>（二） 教学设施</w:t>
          </w:r>
          <w:r>
            <w:tab/>
          </w:r>
          <w:r>
            <w:fldChar w:fldCharType="begin"/>
          </w:r>
          <w:r>
            <w:instrText xml:space="preserve"> PAGEREF _Toc99454620 \h </w:instrText>
          </w:r>
          <w:r>
            <w:fldChar w:fldCharType="separate"/>
          </w:r>
          <w:r>
            <w:t>- 12 -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9680"/>
            </w:tabs>
            <w:ind w:left="814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"_Toc99454621" </w:instrText>
          </w:r>
          <w:r>
            <w:fldChar w:fldCharType="separate"/>
          </w:r>
          <w:r>
            <w:rPr>
              <w:rStyle w:val="22"/>
              <w:rFonts w:cs="黑体" w:asciiTheme="minorEastAsia" w:hAnsiTheme="minorEastAsia"/>
            </w:rPr>
            <w:t>（三） 教学资源</w:t>
          </w:r>
          <w:r>
            <w:tab/>
          </w:r>
          <w:r>
            <w:fldChar w:fldCharType="begin"/>
          </w:r>
          <w:r>
            <w:instrText xml:space="preserve"> PAGEREF _Toc99454621 \h </w:instrText>
          </w:r>
          <w:r>
            <w:fldChar w:fldCharType="separate"/>
          </w:r>
          <w:r>
            <w:t>- 12 -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9680"/>
            </w:tabs>
            <w:ind w:left="814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"_Toc99454622" </w:instrText>
          </w:r>
          <w:r>
            <w:fldChar w:fldCharType="separate"/>
          </w:r>
          <w:r>
            <w:rPr>
              <w:rStyle w:val="22"/>
              <w:rFonts w:cs="黑体" w:asciiTheme="minorEastAsia" w:hAnsiTheme="minorEastAsia"/>
            </w:rPr>
            <w:t>（四） 教学方法</w:t>
          </w:r>
          <w:r>
            <w:tab/>
          </w:r>
          <w:r>
            <w:fldChar w:fldCharType="begin"/>
          </w:r>
          <w:r>
            <w:instrText xml:space="preserve"> PAGEREF _Toc99454622 \h </w:instrText>
          </w:r>
          <w:r>
            <w:fldChar w:fldCharType="separate"/>
          </w:r>
          <w:r>
            <w:t>- 12 -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9680"/>
            </w:tabs>
            <w:ind w:left="814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"_Toc99454623" </w:instrText>
          </w:r>
          <w:r>
            <w:fldChar w:fldCharType="separate"/>
          </w:r>
          <w:r>
            <w:rPr>
              <w:rStyle w:val="22"/>
              <w:rFonts w:cs="黑体" w:asciiTheme="minorEastAsia" w:hAnsiTheme="minorEastAsia"/>
            </w:rPr>
            <w:t>（五） 学习评价</w:t>
          </w:r>
          <w:r>
            <w:tab/>
          </w:r>
          <w:r>
            <w:fldChar w:fldCharType="begin"/>
          </w:r>
          <w:r>
            <w:instrText xml:space="preserve"> PAGEREF _Toc99454623 \h </w:instrText>
          </w:r>
          <w:r>
            <w:fldChar w:fldCharType="separate"/>
          </w:r>
          <w:r>
            <w:t>- 12 -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9680"/>
            </w:tabs>
            <w:ind w:left="814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"_Toc99454624" </w:instrText>
          </w:r>
          <w:r>
            <w:fldChar w:fldCharType="separate"/>
          </w:r>
          <w:r>
            <w:rPr>
              <w:rStyle w:val="22"/>
              <w:rFonts w:cs="黑体" w:asciiTheme="minorEastAsia" w:hAnsiTheme="minorEastAsia"/>
            </w:rPr>
            <w:t>（六） 质量管理</w:t>
          </w:r>
          <w:r>
            <w:tab/>
          </w:r>
          <w:r>
            <w:fldChar w:fldCharType="begin"/>
          </w:r>
          <w:r>
            <w:instrText xml:space="preserve"> PAGEREF _Toc99454624 \h </w:instrText>
          </w:r>
          <w:r>
            <w:fldChar w:fldCharType="separate"/>
          </w:r>
          <w:r>
            <w:t>- 13 -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9680"/>
            </w:tabs>
            <w:ind w:left="407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"_Toc99454625" </w:instrText>
          </w:r>
          <w:r>
            <w:fldChar w:fldCharType="separate"/>
          </w:r>
          <w:r>
            <w:rPr>
              <w:rStyle w:val="22"/>
              <w:rFonts w:ascii="黑体" w:hAnsi="黑体"/>
            </w:rPr>
            <w:t>九、毕业要求</w:t>
          </w:r>
          <w:r>
            <w:tab/>
          </w:r>
          <w:r>
            <w:fldChar w:fldCharType="begin"/>
          </w:r>
          <w:r>
            <w:instrText xml:space="preserve"> PAGEREF _Toc99454625 \h </w:instrText>
          </w:r>
          <w:r>
            <w:fldChar w:fldCharType="separate"/>
          </w:r>
          <w:r>
            <w:t>- 15 -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9680"/>
            </w:tabs>
            <w:ind w:left="407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"_Toc99454626" </w:instrText>
          </w:r>
          <w:r>
            <w:fldChar w:fldCharType="separate"/>
          </w:r>
          <w:r>
            <w:rPr>
              <w:rStyle w:val="22"/>
              <w:rFonts w:ascii="黑体" w:hAnsi="黑体"/>
            </w:rPr>
            <w:t>附录：中药制药专业（中专）教学进程安排表</w:t>
          </w:r>
          <w:r>
            <w:tab/>
          </w:r>
          <w:r>
            <w:fldChar w:fldCharType="begin"/>
          </w:r>
          <w:r>
            <w:instrText xml:space="preserve"> PAGEREF _Toc99454626 \h </w:instrText>
          </w:r>
          <w:r>
            <w:fldChar w:fldCharType="separate"/>
          </w:r>
          <w:r>
            <w:t>- 16 -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9680"/>
            </w:tabs>
            <w:ind w:left="407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"_Toc99454627" </w:instrText>
          </w:r>
          <w:r>
            <w:fldChar w:fldCharType="separate"/>
          </w:r>
          <w:r>
            <w:rPr>
              <w:rStyle w:val="22"/>
              <w:rFonts w:ascii="黑体" w:hAnsi="黑体"/>
            </w:rPr>
            <w:t>附件1：人才培养方案变更审批表</w:t>
          </w:r>
          <w:r>
            <w:tab/>
          </w:r>
          <w:r>
            <w:fldChar w:fldCharType="begin"/>
          </w:r>
          <w:r>
            <w:instrText xml:space="preserve"> PAGEREF _Toc99454627 \h </w:instrText>
          </w:r>
          <w:r>
            <w:fldChar w:fldCharType="separate"/>
          </w:r>
          <w:r>
            <w:t>- 19 -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9680"/>
            </w:tabs>
            <w:ind w:left="407"/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"_Toc99454628" </w:instrText>
          </w:r>
          <w:r>
            <w:fldChar w:fldCharType="separate"/>
          </w:r>
          <w:r>
            <w:rPr>
              <w:rStyle w:val="22"/>
              <w:rFonts w:ascii="黑体" w:hAnsi="黑体"/>
            </w:rPr>
            <w:t>附件2：人才培养方案审定文件</w:t>
          </w:r>
          <w:r>
            <w:tab/>
          </w:r>
          <w:r>
            <w:fldChar w:fldCharType="begin"/>
          </w:r>
          <w:r>
            <w:instrText xml:space="preserve"> PAGEREF _Toc99454628 \h </w:instrText>
          </w:r>
          <w:r>
            <w:fldChar w:fldCharType="separate"/>
          </w:r>
          <w:r>
            <w:t>- 20 -</w:t>
          </w:r>
          <w:r>
            <w:fldChar w:fldCharType="end"/>
          </w:r>
          <w:r>
            <w:fldChar w:fldCharType="end"/>
          </w:r>
        </w:p>
        <w:p>
          <w:pPr>
            <w:spacing w:line="440" w:lineRule="exact"/>
            <w:rPr>
              <w:rFonts w:asciiTheme="minorEastAsia" w:hAnsiTheme="minorEastAsia" w:eastAsiaTheme="minorEastAsia"/>
            </w:rPr>
          </w:pPr>
          <w:r>
            <w:rPr>
              <w:rFonts w:asciiTheme="minorEastAsia" w:hAnsiTheme="minorEastAsia" w:eastAsiaTheme="minorEastAsia"/>
              <w:b/>
              <w:bCs/>
              <w:lang w:val="zh-CN"/>
            </w:rPr>
            <w:fldChar w:fldCharType="end"/>
          </w:r>
        </w:p>
      </w:sdtContent>
    </w:sdt>
    <w:p>
      <w:pPr>
        <w:spacing w:line="440" w:lineRule="exact"/>
        <w:rPr>
          <w:rFonts w:asciiTheme="minorEastAsia" w:hAnsiTheme="minorEastAsia" w:eastAsiaTheme="minorEastAsia"/>
        </w:rPr>
      </w:pPr>
    </w:p>
    <w:p>
      <w:pPr>
        <w:pStyle w:val="2"/>
        <w:spacing w:line="440" w:lineRule="exact"/>
        <w:jc w:val="center"/>
        <w:rPr>
          <w:rFonts w:cs="黑体" w:asciiTheme="minorEastAsia" w:hAnsiTheme="minorEastAsia" w:eastAsiaTheme="minorEastAsia"/>
          <w:b w:val="0"/>
          <w:bCs/>
        </w:rPr>
        <w:sectPr>
          <w:headerReference r:id="rId3" w:type="default"/>
          <w:footerReference r:id="rId4" w:type="default"/>
          <w:pgSz w:w="11850" w:h="16783"/>
          <w:pgMar w:top="1440" w:right="1080" w:bottom="1440" w:left="1080" w:header="851" w:footer="850" w:gutter="0"/>
          <w:pgNumType w:fmt="numberInDash"/>
          <w:cols w:space="720" w:num="1"/>
          <w:titlePg/>
          <w:docGrid w:type="linesAndChars" w:linePitch="297" w:charSpace="-1354"/>
        </w:sectPr>
      </w:pPr>
    </w:p>
    <w:p>
      <w:pPr>
        <w:spacing w:line="440" w:lineRule="exact"/>
        <w:jc w:val="center"/>
        <w:rPr>
          <w:rFonts w:ascii="微软雅黑" w:hAnsi="微软雅黑" w:eastAsia="微软雅黑"/>
          <w:b/>
          <w:bCs/>
          <w:sz w:val="40"/>
          <w:szCs w:val="36"/>
        </w:rPr>
      </w:pPr>
      <w:bookmarkStart w:id="28" w:name="_GoBack"/>
      <w:r>
        <w:rPr>
          <w:rFonts w:hint="eastAsia" w:ascii="微软雅黑" w:hAnsi="微软雅黑" w:eastAsia="微软雅黑"/>
          <w:b/>
          <w:bCs/>
          <w:sz w:val="40"/>
          <w:szCs w:val="36"/>
        </w:rPr>
        <w:t>中药制药专业人才培养方案</w:t>
      </w:r>
    </w:p>
    <w:p>
      <w:pPr>
        <w:pStyle w:val="3"/>
        <w:spacing w:line="440" w:lineRule="exact"/>
        <w:rPr>
          <w:rFonts w:ascii="黑体" w:hAnsi="黑体"/>
          <w:sz w:val="28"/>
          <w:szCs w:val="18"/>
        </w:rPr>
      </w:pPr>
      <w:bookmarkStart w:id="2" w:name="_Toc99454605"/>
      <w:r>
        <w:rPr>
          <w:rFonts w:hint="eastAsia" w:ascii="黑体" w:hAnsi="黑体"/>
          <w:sz w:val="28"/>
          <w:szCs w:val="18"/>
        </w:rPr>
        <w:t>一</w:t>
      </w:r>
      <w:r>
        <w:rPr>
          <w:rFonts w:ascii="黑体" w:hAnsi="黑体"/>
          <w:sz w:val="28"/>
          <w:szCs w:val="18"/>
        </w:rPr>
        <w:t>、</w:t>
      </w:r>
      <w:r>
        <w:rPr>
          <w:rFonts w:hint="eastAsia" w:ascii="黑体" w:hAnsi="黑体"/>
          <w:sz w:val="28"/>
          <w:szCs w:val="18"/>
        </w:rPr>
        <w:t>专业名称</w:t>
      </w:r>
      <w:r>
        <w:rPr>
          <w:rFonts w:ascii="黑体" w:hAnsi="黑体"/>
          <w:sz w:val="28"/>
          <w:szCs w:val="18"/>
        </w:rPr>
        <w:t>及</w:t>
      </w:r>
      <w:r>
        <w:rPr>
          <w:rFonts w:hint="eastAsia" w:ascii="黑体" w:hAnsi="黑体"/>
          <w:sz w:val="28"/>
          <w:szCs w:val="18"/>
        </w:rPr>
        <w:t>代码</w:t>
      </w:r>
      <w:bookmarkEnd w:id="2"/>
    </w:p>
    <w:p>
      <w:pPr>
        <w:pStyle w:val="24"/>
        <w:spacing w:line="440" w:lineRule="exact"/>
        <w:ind w:left="467" w:firstLine="0"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专业名称：中药制药</w:t>
      </w:r>
    </w:p>
    <w:p>
      <w:pPr>
        <w:pStyle w:val="24"/>
        <w:spacing w:line="440" w:lineRule="exact"/>
        <w:ind w:left="467" w:firstLine="0"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专业代码：</w:t>
      </w:r>
      <w:r>
        <w:rPr>
          <w:rFonts w:asciiTheme="minorEastAsia" w:hAnsiTheme="minorEastAsia" w:eastAsiaTheme="minorEastAsia"/>
          <w:sz w:val="24"/>
          <w:szCs w:val="24"/>
        </w:rPr>
        <w:t>720407</w:t>
      </w:r>
    </w:p>
    <w:p>
      <w:pPr>
        <w:pStyle w:val="24"/>
        <w:spacing w:line="440" w:lineRule="exact"/>
        <w:ind w:left="467" w:firstLine="0"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原专业代码：</w:t>
      </w:r>
      <w:r>
        <w:rPr>
          <w:rFonts w:asciiTheme="minorEastAsia" w:hAnsiTheme="minorEastAsia" w:eastAsiaTheme="minorEastAsia"/>
          <w:sz w:val="24"/>
          <w:szCs w:val="24"/>
        </w:rPr>
        <w:t>101900</w:t>
      </w:r>
    </w:p>
    <w:p>
      <w:pPr>
        <w:pStyle w:val="3"/>
        <w:spacing w:line="440" w:lineRule="exact"/>
        <w:rPr>
          <w:rFonts w:ascii="黑体" w:hAnsi="黑体"/>
          <w:sz w:val="28"/>
          <w:szCs w:val="18"/>
        </w:rPr>
      </w:pPr>
      <w:bookmarkStart w:id="3" w:name="_Toc99454606"/>
      <w:r>
        <w:rPr>
          <w:rFonts w:hint="eastAsia" w:ascii="黑体" w:hAnsi="黑体"/>
          <w:sz w:val="28"/>
          <w:szCs w:val="18"/>
        </w:rPr>
        <w:t>二、入学要求</w:t>
      </w:r>
      <w:bookmarkEnd w:id="3"/>
    </w:p>
    <w:p>
      <w:pPr>
        <w:pStyle w:val="24"/>
        <w:spacing w:line="440" w:lineRule="exact"/>
        <w:ind w:left="467" w:firstLine="0" w:firstLineChars="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初中毕业或具有同等学历者。</w:t>
      </w:r>
    </w:p>
    <w:p>
      <w:pPr>
        <w:pStyle w:val="3"/>
        <w:spacing w:line="440" w:lineRule="exact"/>
        <w:rPr>
          <w:rFonts w:ascii="黑体" w:hAnsi="黑体"/>
          <w:sz w:val="28"/>
          <w:szCs w:val="18"/>
        </w:rPr>
      </w:pPr>
      <w:bookmarkStart w:id="4" w:name="_Toc99454607"/>
      <w:r>
        <w:rPr>
          <w:rFonts w:hint="eastAsia" w:ascii="黑体" w:hAnsi="黑体"/>
          <w:sz w:val="28"/>
          <w:szCs w:val="18"/>
        </w:rPr>
        <w:t>三、修业年限</w:t>
      </w:r>
      <w:bookmarkEnd w:id="4"/>
    </w:p>
    <w:p>
      <w:pPr>
        <w:pStyle w:val="24"/>
        <w:spacing w:line="440" w:lineRule="exact"/>
        <w:ind w:firstLine="46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3年</w:t>
      </w:r>
    </w:p>
    <w:p>
      <w:pPr>
        <w:pStyle w:val="3"/>
        <w:spacing w:line="440" w:lineRule="exact"/>
        <w:rPr>
          <w:rFonts w:ascii="黑体" w:hAnsi="黑体"/>
          <w:sz w:val="28"/>
          <w:szCs w:val="18"/>
        </w:rPr>
      </w:pPr>
      <w:bookmarkStart w:id="5" w:name="_Toc99454608"/>
      <w:r>
        <w:rPr>
          <w:rFonts w:hint="eastAsia" w:ascii="黑体" w:hAnsi="黑体"/>
          <w:sz w:val="28"/>
          <w:szCs w:val="18"/>
        </w:rPr>
        <w:t>四、职业面向</w:t>
      </w:r>
      <w:bookmarkEnd w:id="5"/>
    </w:p>
    <w:tbl>
      <w:tblPr>
        <w:tblStyle w:val="17"/>
        <w:tblW w:w="90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34"/>
        <w:gridCol w:w="1985"/>
        <w:gridCol w:w="2126"/>
        <w:gridCol w:w="2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专业大类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（代码）</w:t>
            </w: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专业类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（代码）</w:t>
            </w:r>
          </w:p>
        </w:tc>
        <w:tc>
          <w:tcPr>
            <w:tcW w:w="198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行业方向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职业（岗位）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类别</w:t>
            </w:r>
          </w:p>
        </w:tc>
        <w:tc>
          <w:tcPr>
            <w:tcW w:w="2677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职业技能等级证书、职业资格证书举例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中医药类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7204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中药制药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720407</w:t>
            </w:r>
          </w:p>
        </w:tc>
        <w:tc>
          <w:tcPr>
            <w:tcW w:w="1985" w:type="dxa"/>
          </w:tcPr>
          <w:p>
            <w:pPr>
              <w:spacing w:line="440" w:lineRule="exact"/>
              <w:rPr>
                <w:szCs w:val="21"/>
              </w:rPr>
            </w:pPr>
            <w:r>
              <w:rPr>
                <w:szCs w:val="21"/>
              </w:rPr>
              <w:t>中药制药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方向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szCs w:val="21"/>
              </w:rPr>
              <w:t>中药液体制剂工</w:t>
            </w:r>
          </w:p>
        </w:tc>
        <w:tc>
          <w:tcPr>
            <w:tcW w:w="2677" w:type="dxa"/>
            <w:vAlign w:val="center"/>
          </w:tcPr>
          <w:p>
            <w:pPr>
              <w:spacing w:line="4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szCs w:val="21"/>
              </w:rPr>
              <w:t>中药液体制剂工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85" w:type="dxa"/>
          </w:tcPr>
          <w:p>
            <w:pPr>
              <w:spacing w:line="440" w:lineRule="exact"/>
              <w:rPr>
                <w:szCs w:val="21"/>
              </w:rPr>
            </w:pPr>
            <w:r>
              <w:rPr>
                <w:szCs w:val="21"/>
              </w:rPr>
              <w:t>中药制药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方向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szCs w:val="21"/>
              </w:rPr>
              <w:t>中药固体制剂工</w:t>
            </w:r>
          </w:p>
        </w:tc>
        <w:tc>
          <w:tcPr>
            <w:tcW w:w="2677" w:type="dxa"/>
            <w:vAlign w:val="center"/>
          </w:tcPr>
          <w:p>
            <w:pPr>
              <w:spacing w:line="4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szCs w:val="21"/>
              </w:rPr>
              <w:t>中药固体制剂工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85" w:type="dxa"/>
          </w:tcPr>
          <w:p>
            <w:pPr>
              <w:spacing w:line="440" w:lineRule="exact"/>
              <w:rPr>
                <w:szCs w:val="21"/>
              </w:rPr>
            </w:pPr>
            <w:r>
              <w:rPr>
                <w:szCs w:val="21"/>
              </w:rPr>
              <w:t>中药制药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方向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szCs w:val="21"/>
              </w:rPr>
              <w:t>中药检验工</w:t>
            </w:r>
          </w:p>
        </w:tc>
        <w:tc>
          <w:tcPr>
            <w:tcW w:w="2677" w:type="dxa"/>
            <w:vAlign w:val="center"/>
          </w:tcPr>
          <w:p>
            <w:pPr>
              <w:spacing w:line="440" w:lineRule="exac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szCs w:val="21"/>
              </w:rPr>
              <w:t>中药检验工</w:t>
            </w:r>
          </w:p>
        </w:tc>
      </w:tr>
    </w:tbl>
    <w:p>
      <w:pPr>
        <w:pStyle w:val="3"/>
        <w:spacing w:line="440" w:lineRule="exact"/>
        <w:rPr>
          <w:rFonts w:ascii="黑体" w:hAnsi="黑体"/>
          <w:sz w:val="28"/>
          <w:szCs w:val="18"/>
        </w:rPr>
      </w:pPr>
      <w:bookmarkStart w:id="6" w:name="_Toc99454609"/>
      <w:r>
        <w:rPr>
          <w:rFonts w:hint="eastAsia" w:ascii="黑体" w:hAnsi="黑体"/>
          <w:sz w:val="28"/>
          <w:szCs w:val="18"/>
        </w:rPr>
        <w:t>五、培养目标与培养规格</w:t>
      </w:r>
      <w:bookmarkEnd w:id="6"/>
    </w:p>
    <w:p>
      <w:pPr>
        <w:spacing w:line="440" w:lineRule="exact"/>
        <w:rPr>
          <w:rFonts w:asciiTheme="minorEastAsia" w:hAnsiTheme="minorEastAsia" w:eastAsiaTheme="minorEastAsia"/>
          <w:szCs w:val="21"/>
        </w:rPr>
      </w:pPr>
      <w:bookmarkStart w:id="7" w:name="_Toc99454610"/>
      <w:r>
        <w:rPr>
          <w:rFonts w:hint="eastAsia" w:cs="黑体" w:asciiTheme="minorEastAsia" w:hAnsiTheme="minorEastAsia" w:eastAsiaTheme="minorEastAsia"/>
          <w:sz w:val="24"/>
          <w:szCs w:val="24"/>
        </w:rPr>
        <w:t>（一）培养目标</w:t>
      </w:r>
      <w:bookmarkEnd w:id="7"/>
    </w:p>
    <w:p>
      <w:pPr>
        <w:spacing w:line="440" w:lineRule="exact"/>
        <w:ind w:firstLine="468" w:firstLineChars="200"/>
        <w:rPr>
          <w:sz w:val="24"/>
          <w:szCs w:val="22"/>
        </w:rPr>
      </w:pPr>
      <w:r>
        <w:rPr>
          <w:rFonts w:hint="eastAsia"/>
          <w:sz w:val="24"/>
          <w:szCs w:val="22"/>
        </w:rPr>
        <w:t>本专业主要面向中药制剂行业企业，培养具有一定的传统中医药理论知识和较强的生产实践能力，服务生产、建设管理第一线的实用型中医药人才，直接为社会创造物质财富和经济效益；培养适应社会主义现代化建设和中医药事业发展需要的，德、智、体等方面全面发展的高素质劳动者和技能型人才。</w:t>
      </w:r>
      <w:bookmarkStart w:id="8" w:name="_Toc99454611"/>
    </w:p>
    <w:p>
      <w:pPr>
        <w:spacing w:line="440" w:lineRule="exact"/>
        <w:rPr>
          <w:sz w:val="24"/>
          <w:szCs w:val="22"/>
        </w:rPr>
      </w:pPr>
      <w:r>
        <w:rPr>
          <w:rFonts w:hint="eastAsia" w:cs="黑体" w:asciiTheme="minorEastAsia" w:hAnsiTheme="minorEastAsia" w:eastAsiaTheme="minorEastAsia"/>
          <w:sz w:val="24"/>
          <w:szCs w:val="16"/>
        </w:rPr>
        <w:t>（二）培养规格</w:t>
      </w:r>
      <w:bookmarkEnd w:id="8"/>
    </w:p>
    <w:p>
      <w:pPr>
        <w:pStyle w:val="31"/>
        <w:spacing w:line="440" w:lineRule="exact"/>
        <w:ind w:left="0" w:firstLine="468" w:firstLineChars="200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学生应具有坚定正确的政治方向，热爱社会主义祖国，具有爱国主义，集体主义和全心全意为人民服务的思想，具有良好的职业素质,具有不断追求新知识、实事求是、独立思考、勇于创新的科学精神。掌握较强的专业技能和基本的专业知识。具有一定的英语应用能力、计算机应用能力、团队合作能力及沟通能力。</w:t>
      </w:r>
    </w:p>
    <w:p>
      <w:pPr>
        <w:pStyle w:val="31"/>
        <w:spacing w:line="440" w:lineRule="exact"/>
        <w:rPr>
          <w:rFonts w:asciiTheme="minorEastAsia" w:hAnsiTheme="minorEastAsia" w:eastAsiaTheme="minorEastAsia"/>
          <w:b/>
          <w:bCs/>
          <w:color w:val="auto"/>
        </w:rPr>
      </w:pPr>
      <w:r>
        <w:rPr>
          <w:rFonts w:hint="eastAsia" w:asciiTheme="minorEastAsia" w:hAnsiTheme="minorEastAsia" w:eastAsiaTheme="minorEastAsia"/>
          <w:b/>
          <w:bCs/>
          <w:color w:val="auto"/>
        </w:rPr>
        <w:t>1</w:t>
      </w:r>
      <w:r>
        <w:rPr>
          <w:rFonts w:asciiTheme="minorEastAsia" w:hAnsiTheme="minorEastAsia" w:eastAsiaTheme="minorEastAsia"/>
          <w:b/>
          <w:bCs/>
          <w:color w:val="auto"/>
        </w:rPr>
        <w:t>.</w:t>
      </w:r>
      <w:r>
        <w:rPr>
          <w:rFonts w:hint="eastAsia" w:asciiTheme="minorEastAsia" w:hAnsiTheme="minorEastAsia" w:eastAsiaTheme="minorEastAsia"/>
          <w:b/>
          <w:bCs/>
          <w:color w:val="auto"/>
        </w:rPr>
        <w:t>知识目标</w:t>
      </w:r>
    </w:p>
    <w:p>
      <w:pPr>
        <w:pStyle w:val="31"/>
        <w:numPr>
          <w:ilvl w:val="0"/>
          <w:numId w:val="2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掌握必需的英语、计算机基础等文化基础知识。</w:t>
      </w:r>
    </w:p>
    <w:p>
      <w:pPr>
        <w:pStyle w:val="31"/>
        <w:numPr>
          <w:ilvl w:val="0"/>
          <w:numId w:val="2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掌握中医药基础理论和临床合理用药的基本知识；</w:t>
      </w:r>
    </w:p>
    <w:p>
      <w:pPr>
        <w:pStyle w:val="31"/>
        <w:numPr>
          <w:ilvl w:val="0"/>
          <w:numId w:val="2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掌握中药化学成分的提取、分离和检测的基本知识；</w:t>
      </w:r>
    </w:p>
    <w:p>
      <w:pPr>
        <w:pStyle w:val="31"/>
        <w:numPr>
          <w:ilvl w:val="0"/>
          <w:numId w:val="2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掌握中药调剂、制剂及制剂分析的基本知识；</w:t>
      </w:r>
    </w:p>
    <w:p>
      <w:pPr>
        <w:pStyle w:val="31"/>
        <w:numPr>
          <w:ilvl w:val="0"/>
          <w:numId w:val="2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掌握药用植物学与中药药理学的基本知识；</w:t>
      </w:r>
    </w:p>
    <w:p>
      <w:pPr>
        <w:pStyle w:val="31"/>
        <w:numPr>
          <w:ilvl w:val="0"/>
          <w:numId w:val="2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熟悉药事与经济管理相关的法律、法规及政策；</w:t>
      </w:r>
    </w:p>
    <w:p>
      <w:pPr>
        <w:pStyle w:val="31"/>
        <w:numPr>
          <w:ilvl w:val="0"/>
          <w:numId w:val="2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熟悉医药营销与现代企业管理的基本知识。</w:t>
      </w:r>
    </w:p>
    <w:p>
      <w:pPr>
        <w:pStyle w:val="31"/>
        <w:spacing w:line="440" w:lineRule="exact"/>
        <w:rPr>
          <w:rFonts w:asciiTheme="minorEastAsia" w:hAnsiTheme="minorEastAsia" w:eastAsiaTheme="minorEastAsia"/>
          <w:b/>
          <w:bCs/>
          <w:color w:val="auto"/>
        </w:rPr>
      </w:pPr>
      <w:r>
        <w:rPr>
          <w:rFonts w:hint="eastAsia" w:asciiTheme="minorEastAsia" w:hAnsiTheme="minorEastAsia" w:eastAsiaTheme="minorEastAsia"/>
          <w:b/>
          <w:bCs/>
          <w:color w:val="auto"/>
        </w:rPr>
        <w:t>2</w:t>
      </w:r>
      <w:r>
        <w:rPr>
          <w:rFonts w:asciiTheme="minorEastAsia" w:hAnsiTheme="minorEastAsia" w:eastAsiaTheme="minorEastAsia"/>
          <w:b/>
          <w:bCs/>
          <w:color w:val="auto"/>
        </w:rPr>
        <w:t>.</w:t>
      </w:r>
      <w:r>
        <w:rPr>
          <w:rFonts w:hint="eastAsia" w:asciiTheme="minorEastAsia" w:hAnsiTheme="minorEastAsia" w:eastAsiaTheme="minorEastAsia"/>
          <w:b/>
          <w:bCs/>
          <w:color w:val="auto"/>
        </w:rPr>
        <w:t>技能目标</w:t>
      </w:r>
    </w:p>
    <w:p>
      <w:pPr>
        <w:pStyle w:val="31"/>
        <w:numPr>
          <w:ilvl w:val="2"/>
          <w:numId w:val="3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具备中药化学成分的提取、分离和检测，中药品种鉴定与质量分析，中药炮制，调剂、制剂和制剂分析的技能；</w:t>
      </w:r>
    </w:p>
    <w:p>
      <w:pPr>
        <w:pStyle w:val="31"/>
        <w:numPr>
          <w:ilvl w:val="2"/>
          <w:numId w:val="3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具备药品市场营销的基本能力；</w:t>
      </w:r>
    </w:p>
    <w:p>
      <w:pPr>
        <w:pStyle w:val="31"/>
        <w:numPr>
          <w:ilvl w:val="2"/>
          <w:numId w:val="3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具有较强的语言文字表达能力和必需的英语基本应用能力；</w:t>
      </w:r>
    </w:p>
    <w:p>
      <w:pPr>
        <w:pStyle w:val="31"/>
        <w:numPr>
          <w:ilvl w:val="2"/>
          <w:numId w:val="3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具有计算机操作及应用的能力，了解计算机在本专业的实际应用；</w:t>
      </w:r>
    </w:p>
    <w:p>
      <w:pPr>
        <w:pStyle w:val="31"/>
        <w:numPr>
          <w:ilvl w:val="2"/>
          <w:numId w:val="3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具有一定的自学能力和获取信息的能力，应有较强的工作适应能力；</w:t>
      </w:r>
    </w:p>
    <w:p>
      <w:pPr>
        <w:pStyle w:val="31"/>
        <w:numPr>
          <w:ilvl w:val="2"/>
          <w:numId w:val="3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应取得两种以上技能证书。</w:t>
      </w:r>
    </w:p>
    <w:p>
      <w:pPr>
        <w:pStyle w:val="31"/>
        <w:spacing w:line="440" w:lineRule="exact"/>
        <w:rPr>
          <w:rFonts w:asciiTheme="minorEastAsia" w:hAnsiTheme="minorEastAsia" w:eastAsiaTheme="minorEastAsia"/>
          <w:b/>
          <w:bCs/>
          <w:color w:val="auto"/>
        </w:rPr>
      </w:pPr>
      <w:r>
        <w:rPr>
          <w:rFonts w:hint="eastAsia" w:asciiTheme="minorEastAsia" w:hAnsiTheme="minorEastAsia" w:eastAsiaTheme="minorEastAsia"/>
          <w:b/>
          <w:bCs/>
          <w:color w:val="auto"/>
        </w:rPr>
        <w:t>3</w:t>
      </w:r>
      <w:r>
        <w:rPr>
          <w:rFonts w:asciiTheme="minorEastAsia" w:hAnsiTheme="minorEastAsia" w:eastAsiaTheme="minorEastAsia"/>
          <w:b/>
          <w:bCs/>
          <w:color w:val="auto"/>
        </w:rPr>
        <w:t>.</w:t>
      </w:r>
      <w:r>
        <w:rPr>
          <w:rFonts w:hint="eastAsia" w:asciiTheme="minorEastAsia" w:hAnsiTheme="minorEastAsia" w:eastAsiaTheme="minorEastAsia"/>
          <w:b/>
          <w:bCs/>
          <w:color w:val="auto"/>
        </w:rPr>
        <w:t>素养目标</w:t>
      </w:r>
    </w:p>
    <w:p>
      <w:pPr>
        <w:pStyle w:val="31"/>
        <w:numPr>
          <w:ilvl w:val="0"/>
          <w:numId w:val="4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具有良好的职业道德，能自觉遵守法律法规和企业规章制度。</w:t>
      </w:r>
    </w:p>
    <w:p>
      <w:pPr>
        <w:pStyle w:val="31"/>
        <w:numPr>
          <w:ilvl w:val="0"/>
          <w:numId w:val="4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具有职业健康、质量意识和安全意识，严格遵守药品安全生产、环境保护法规，能按岗位安全生产规程操作。</w:t>
      </w:r>
    </w:p>
    <w:p>
      <w:pPr>
        <w:pStyle w:val="31"/>
        <w:numPr>
          <w:ilvl w:val="0"/>
          <w:numId w:val="4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具有必备的文化基础知识和中医药企业文化素养。</w:t>
      </w:r>
    </w:p>
    <w:p>
      <w:pPr>
        <w:pStyle w:val="31"/>
        <w:numPr>
          <w:ilvl w:val="0"/>
          <w:numId w:val="4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具有良好的人际交往、团队合作、适应社会和自身发展的能力。</w:t>
      </w:r>
    </w:p>
    <w:p>
      <w:pPr>
        <w:pStyle w:val="31"/>
        <w:numPr>
          <w:ilvl w:val="0"/>
          <w:numId w:val="4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通过军训、公益劳动、社会实践、社会调查等活动，培养学生具备爱国主义、艰苦奋斗、实事求是的品德。</w:t>
      </w:r>
    </w:p>
    <w:p>
      <w:pPr>
        <w:pStyle w:val="31"/>
        <w:numPr>
          <w:ilvl w:val="0"/>
          <w:numId w:val="4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通过社团活动、兴趣小组、向学生开放校内实训基地等方式培养学生的动手能力和创新精神。</w:t>
      </w:r>
    </w:p>
    <w:p>
      <w:pPr>
        <w:pStyle w:val="31"/>
        <w:numPr>
          <w:ilvl w:val="0"/>
          <w:numId w:val="4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培养学生良好的敬业精神、职业意识、职业行为习惯和扎实的职业技能等职业素养。</w:t>
      </w:r>
    </w:p>
    <w:p>
      <w:pPr>
        <w:pStyle w:val="31"/>
        <w:numPr>
          <w:ilvl w:val="0"/>
          <w:numId w:val="4"/>
        </w:numPr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具有勤奋好学、艰苦奋斗、实干创新的精神，热爱劳动、遵纪守法、团结同事的良好道德品质。懂得一定的社会、人文科学和经济管理知识，具有良好的文化素养和健康的心理素质。</w:t>
      </w:r>
    </w:p>
    <w:p>
      <w:pPr>
        <w:pStyle w:val="31"/>
        <w:spacing w:line="440" w:lineRule="exact"/>
        <w:rPr>
          <w:rFonts w:asciiTheme="minorEastAsia" w:hAnsiTheme="minorEastAsia" w:eastAsiaTheme="minorEastAsia"/>
          <w:b/>
          <w:bCs/>
          <w:color w:val="auto"/>
        </w:rPr>
      </w:pPr>
      <w:r>
        <w:rPr>
          <w:rFonts w:hint="eastAsia" w:asciiTheme="minorEastAsia" w:hAnsiTheme="minorEastAsia" w:eastAsiaTheme="minorEastAsia"/>
          <w:b/>
          <w:bCs/>
          <w:color w:val="auto"/>
        </w:rPr>
        <w:t>专业（技能）方向——中药制剂方向</w:t>
      </w:r>
    </w:p>
    <w:p>
      <w:pPr>
        <w:pStyle w:val="31"/>
        <w:spacing w:line="440" w:lineRule="exact"/>
        <w:ind w:left="0" w:firstLine="468" w:firstLineChars="200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1.掌握中药制剂分析的基本原理和常用实验技能，熟悉常用中药制剂的定性鉴别、检查和含量测定方法。</w:t>
      </w:r>
    </w:p>
    <w:p>
      <w:pPr>
        <w:pStyle w:val="31"/>
        <w:spacing w:line="440" w:lineRule="exact"/>
        <w:ind w:left="0" w:firstLine="468" w:firstLineChars="200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2.对中药制剂的各个环节（原料、半成品及成品）能进行常规质量分析，从而保障临床用药的安全有效。</w:t>
      </w:r>
    </w:p>
    <w:p>
      <w:pPr>
        <w:pStyle w:val="31"/>
        <w:spacing w:line="440" w:lineRule="exact"/>
        <w:ind w:left="0" w:firstLine="468" w:firstLineChars="200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3.掌握国家药品生产质量管理规范的主要内容，严格遵守相关药品生产流程，确保产品质量。</w:t>
      </w:r>
    </w:p>
    <w:p>
      <w:pPr>
        <w:pStyle w:val="31"/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4.掌握中药品种鉴定与质量分析的基本知识。</w:t>
      </w:r>
    </w:p>
    <w:p>
      <w:pPr>
        <w:pStyle w:val="31"/>
        <w:spacing w:line="440" w:lineRule="exact"/>
        <w:ind w:left="0" w:firstLine="468" w:firstLineChars="200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5.</w:t>
      </w:r>
      <w:r>
        <w:rPr>
          <w:rFonts w:asciiTheme="minorEastAsia" w:hAnsiTheme="minorEastAsia" w:eastAsiaTheme="minorEastAsia"/>
          <w:color w:val="auto"/>
        </w:rPr>
        <w:t>掌握常用中药剂型的特点、制备工艺、质量控制方法，熟练掌握中药各类常用剂型的生产技术；能使用常用中药制剂生产设备、并进行日常维护。</w:t>
      </w:r>
    </w:p>
    <w:p>
      <w:pPr>
        <w:pStyle w:val="3"/>
        <w:spacing w:line="440" w:lineRule="exact"/>
        <w:rPr>
          <w:rFonts w:ascii="黑体" w:hAnsi="黑体"/>
          <w:sz w:val="28"/>
          <w:szCs w:val="18"/>
        </w:rPr>
      </w:pPr>
      <w:bookmarkStart w:id="9" w:name="_Toc99454612"/>
      <w:r>
        <w:rPr>
          <w:rFonts w:hint="eastAsia" w:ascii="黑体" w:hAnsi="黑体"/>
          <w:sz w:val="28"/>
          <w:szCs w:val="18"/>
        </w:rPr>
        <w:t>六、课程设置与要求</w:t>
      </w:r>
      <w:bookmarkEnd w:id="9"/>
    </w:p>
    <w:p>
      <w:pPr>
        <w:pStyle w:val="30"/>
        <w:spacing w:line="440" w:lineRule="exact"/>
        <w:ind w:left="0" w:firstLine="468" w:firstLineChars="200"/>
        <w:rPr>
          <w:rFonts w:cs="楷体" w:asciiTheme="minorEastAsia" w:hAnsiTheme="minorEastAsia" w:eastAsiaTheme="minorEastAsia"/>
          <w:color w:val="auto"/>
        </w:rPr>
      </w:pPr>
      <w:r>
        <w:rPr>
          <w:rFonts w:hint="eastAsia" w:cs="楷体" w:asciiTheme="minorEastAsia" w:hAnsiTheme="minorEastAsia" w:eastAsiaTheme="minorEastAsia"/>
          <w:color w:val="auto"/>
        </w:rPr>
        <w:t>本专业课程设置分为公共基础课和专业技能课。</w:t>
      </w:r>
    </w:p>
    <w:p>
      <w:pPr>
        <w:spacing w:line="440" w:lineRule="exact"/>
        <w:ind w:firstLine="468" w:firstLineChars="200"/>
        <w:rPr>
          <w:rFonts w:cs="楷体" w:asciiTheme="minorEastAsia" w:hAnsiTheme="minorEastAsia" w:eastAsiaTheme="minorEastAsia"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sz w:val="24"/>
          <w:szCs w:val="24"/>
        </w:rPr>
        <w:t>公共基础课包括思想政治课、文化课、体育与健康课、公共艺术课和公共选修课。</w:t>
      </w:r>
    </w:p>
    <w:p>
      <w:pPr>
        <w:spacing w:line="440" w:lineRule="exact"/>
        <w:ind w:firstLine="468" w:firstLineChars="200"/>
        <w:rPr>
          <w:rFonts w:cs="楷体" w:asciiTheme="minorEastAsia" w:hAnsiTheme="minorEastAsia" w:eastAsiaTheme="minorEastAsia"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sz w:val="24"/>
          <w:szCs w:val="24"/>
        </w:rPr>
        <w:t>专业技能课包括专业核心课、专业（技能）方向课和专业选修课。</w:t>
      </w:r>
    </w:p>
    <w:p>
      <w:pPr>
        <w:spacing w:line="440" w:lineRule="exact"/>
        <w:ind w:firstLine="468" w:firstLineChars="200"/>
        <w:rPr>
          <w:rFonts w:cs="楷体" w:asciiTheme="minorEastAsia" w:hAnsiTheme="minorEastAsia" w:eastAsiaTheme="minorEastAsia"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sz w:val="24"/>
          <w:szCs w:val="24"/>
        </w:rPr>
        <w:t>实习实训是专业技能课教学的重要内容，含校内外实训、顶岗实习等多种形式。</w:t>
      </w:r>
    </w:p>
    <w:p>
      <w:pPr>
        <w:pStyle w:val="4"/>
        <w:numPr>
          <w:ilvl w:val="0"/>
          <w:numId w:val="5"/>
        </w:numPr>
        <w:spacing w:line="440" w:lineRule="exact"/>
        <w:rPr>
          <w:rFonts w:cs="黑体" w:asciiTheme="minorEastAsia" w:hAnsiTheme="minorEastAsia" w:eastAsiaTheme="minorEastAsia"/>
          <w:sz w:val="24"/>
          <w:szCs w:val="24"/>
        </w:rPr>
      </w:pPr>
      <w:bookmarkStart w:id="10" w:name="_Toc99454613"/>
      <w:r>
        <w:rPr>
          <w:rFonts w:hint="eastAsia" w:cs="黑体" w:asciiTheme="minorEastAsia" w:hAnsiTheme="minorEastAsia" w:eastAsiaTheme="minorEastAsia"/>
          <w:sz w:val="24"/>
          <w:szCs w:val="24"/>
        </w:rPr>
        <w:t>公共基础课程</w:t>
      </w:r>
      <w:bookmarkEnd w:id="10"/>
    </w:p>
    <w:tbl>
      <w:tblPr>
        <w:tblStyle w:val="17"/>
        <w:tblW w:w="10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014"/>
        <w:gridCol w:w="595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序号</w:t>
            </w:r>
          </w:p>
        </w:tc>
        <w:tc>
          <w:tcPr>
            <w:tcW w:w="2014" w:type="dxa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课程名称</w:t>
            </w:r>
          </w:p>
        </w:tc>
        <w:tc>
          <w:tcPr>
            <w:tcW w:w="5953" w:type="dxa"/>
            <w:shd w:val="clear" w:color="auto" w:fill="D9E2F3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主要教学内容和要求</w:t>
            </w:r>
          </w:p>
        </w:tc>
        <w:tc>
          <w:tcPr>
            <w:tcW w:w="1418" w:type="dxa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75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2014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t>经济政治与社会</w:t>
            </w:r>
          </w:p>
        </w:tc>
        <w:tc>
          <w:tcPr>
            <w:tcW w:w="5953" w:type="dxa"/>
          </w:tcPr>
          <w:p>
            <w:pPr>
              <w:spacing w:line="320" w:lineRule="exact"/>
              <w:ind w:firstLine="408" w:firstLineChars="200"/>
              <w:rPr>
                <w:rFonts w:cs="楷体" w:asciiTheme="minorEastAsia" w:hAnsiTheme="minorEastAsia" w:eastAsiaTheme="minorEastAsia"/>
                <w:szCs w:val="21"/>
              </w:rPr>
            </w:pPr>
            <w:r>
              <w:t>依据《中等职业学校经济政治与社会教学大纲》开设，并与本专业实际和行业发展密切结合</w:t>
            </w:r>
          </w:p>
        </w:tc>
        <w:tc>
          <w:tcPr>
            <w:tcW w:w="1418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2014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t>职业生涯规划</w:t>
            </w:r>
          </w:p>
        </w:tc>
        <w:tc>
          <w:tcPr>
            <w:tcW w:w="5953" w:type="dxa"/>
          </w:tcPr>
          <w:p>
            <w:pPr>
              <w:spacing w:line="320" w:lineRule="exact"/>
              <w:ind w:firstLine="408" w:firstLineChars="200"/>
              <w:rPr>
                <w:rFonts w:cs="楷体" w:asciiTheme="minorEastAsia" w:hAnsiTheme="minorEastAsia" w:eastAsiaTheme="minorEastAsia"/>
                <w:szCs w:val="21"/>
              </w:rPr>
            </w:pPr>
            <w:r>
              <w:t>依据《中等职业学校职业生涯规划教学大纲》开设， 并与本专业实际和行业发展密切结合</w:t>
            </w:r>
          </w:p>
        </w:tc>
        <w:tc>
          <w:tcPr>
            <w:tcW w:w="1418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2014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t>哲学与人生</w:t>
            </w:r>
          </w:p>
        </w:tc>
        <w:tc>
          <w:tcPr>
            <w:tcW w:w="5953" w:type="dxa"/>
          </w:tcPr>
          <w:p>
            <w:pPr>
              <w:spacing w:line="320" w:lineRule="exact"/>
              <w:ind w:firstLine="408" w:firstLineChars="200"/>
              <w:rPr>
                <w:rFonts w:cs="楷体" w:asciiTheme="minorEastAsia" w:hAnsiTheme="minorEastAsia" w:eastAsiaTheme="minorEastAsia"/>
                <w:szCs w:val="21"/>
              </w:rPr>
            </w:pPr>
            <w:r>
              <w:t>依据《中等职业学校哲学与人生教学大纲》开设，并与本专业实际和行业发展密切结合</w:t>
            </w:r>
          </w:p>
        </w:tc>
        <w:tc>
          <w:tcPr>
            <w:tcW w:w="1418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2014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t>职业道德与法律</w:t>
            </w:r>
          </w:p>
        </w:tc>
        <w:tc>
          <w:tcPr>
            <w:tcW w:w="5953" w:type="dxa"/>
          </w:tcPr>
          <w:p>
            <w:pPr>
              <w:spacing w:line="320" w:lineRule="exact"/>
              <w:ind w:firstLine="408" w:firstLineChars="200"/>
              <w:rPr>
                <w:rFonts w:cs="楷体" w:asciiTheme="minorEastAsia" w:hAnsiTheme="minorEastAsia" w:eastAsiaTheme="minorEastAsia"/>
                <w:szCs w:val="21"/>
              </w:rPr>
            </w:pPr>
            <w:r>
              <w:t>依据《中等职业学校职业道德与法律教学大纲》开设，并与本专业实际和行业发展密切结合</w:t>
            </w:r>
          </w:p>
        </w:tc>
        <w:tc>
          <w:tcPr>
            <w:tcW w:w="1418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cs="楷体" w:asciiTheme="minorEastAsia" w:hAnsiTheme="minorEastAsia" w:eastAsiaTheme="minorEastAsia"/>
                <w:szCs w:val="21"/>
              </w:rPr>
              <w:t>5</w:t>
            </w:r>
          </w:p>
        </w:tc>
        <w:tc>
          <w:tcPr>
            <w:tcW w:w="2014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语文</w:t>
            </w:r>
          </w:p>
        </w:tc>
        <w:tc>
          <w:tcPr>
            <w:tcW w:w="5953" w:type="dxa"/>
          </w:tcPr>
          <w:p>
            <w:pPr>
              <w:spacing w:line="320" w:lineRule="exact"/>
              <w:ind w:firstLine="408" w:firstLineChars="200"/>
              <w:rPr>
                <w:rFonts w:cs="楷体" w:asciiTheme="minorEastAsia" w:hAnsiTheme="minorEastAsia" w:eastAsiaTheme="minorEastAsia"/>
                <w:szCs w:val="21"/>
              </w:rPr>
            </w:pPr>
            <w:r>
              <w:t>依据《中等职业学校</w:t>
            </w:r>
            <w:r>
              <w:rPr>
                <w:rFonts w:hint="eastAsia" w:cs="楷体" w:asciiTheme="minorEastAsia" w:hAnsiTheme="minorEastAsia" w:eastAsiaTheme="minorEastAsia"/>
                <w:szCs w:val="21"/>
              </w:rPr>
              <w:t>语文</w:t>
            </w:r>
            <w:r>
              <w:t>教学大纲》开设，并与本专业实际和行业发展密切结合</w:t>
            </w:r>
          </w:p>
        </w:tc>
        <w:tc>
          <w:tcPr>
            <w:tcW w:w="1418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75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cs="楷体" w:asciiTheme="minorEastAsia" w:hAnsiTheme="minorEastAsia" w:eastAsiaTheme="minorEastAsia"/>
                <w:szCs w:val="21"/>
              </w:rPr>
              <w:t>6</w:t>
            </w:r>
          </w:p>
        </w:tc>
        <w:tc>
          <w:tcPr>
            <w:tcW w:w="2014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数学</w:t>
            </w:r>
          </w:p>
        </w:tc>
        <w:tc>
          <w:tcPr>
            <w:tcW w:w="5953" w:type="dxa"/>
          </w:tcPr>
          <w:p>
            <w:pPr>
              <w:spacing w:line="320" w:lineRule="exact"/>
              <w:ind w:firstLine="408" w:firstLineChars="200"/>
              <w:rPr>
                <w:rFonts w:cs="楷体" w:asciiTheme="minorEastAsia" w:hAnsiTheme="minorEastAsia" w:eastAsiaTheme="minorEastAsia"/>
                <w:szCs w:val="21"/>
              </w:rPr>
            </w:pPr>
            <w:r>
              <w:t>依据《中等职业学校</w:t>
            </w:r>
            <w:r>
              <w:rPr>
                <w:rFonts w:hint="eastAsia" w:cs="楷体" w:asciiTheme="minorEastAsia" w:hAnsiTheme="minorEastAsia" w:eastAsiaTheme="minorEastAsia"/>
                <w:szCs w:val="21"/>
              </w:rPr>
              <w:t>数学</w:t>
            </w:r>
            <w:r>
              <w:t>教学大纲》开设，并与本专业实际和行业发展密切结合</w:t>
            </w:r>
          </w:p>
        </w:tc>
        <w:tc>
          <w:tcPr>
            <w:tcW w:w="1418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cs="楷体" w:asciiTheme="minorEastAsia" w:hAnsiTheme="minorEastAsia" w:eastAsiaTheme="minorEastAsia"/>
                <w:szCs w:val="21"/>
              </w:rPr>
              <w:t>7</w:t>
            </w:r>
          </w:p>
        </w:tc>
        <w:tc>
          <w:tcPr>
            <w:tcW w:w="2014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英语</w:t>
            </w:r>
          </w:p>
        </w:tc>
        <w:tc>
          <w:tcPr>
            <w:tcW w:w="5953" w:type="dxa"/>
          </w:tcPr>
          <w:p>
            <w:pPr>
              <w:spacing w:line="320" w:lineRule="exact"/>
              <w:ind w:firstLine="408" w:firstLineChars="200"/>
              <w:rPr>
                <w:rFonts w:cs="楷体" w:asciiTheme="minorEastAsia" w:hAnsiTheme="minorEastAsia" w:eastAsiaTheme="minorEastAsia"/>
                <w:szCs w:val="21"/>
              </w:rPr>
            </w:pPr>
            <w:r>
              <w:t>依据《中等职业学校</w:t>
            </w:r>
            <w:r>
              <w:rPr>
                <w:rFonts w:hint="eastAsia" w:cs="楷体" w:asciiTheme="minorEastAsia" w:hAnsiTheme="minorEastAsia" w:eastAsiaTheme="minorEastAsia"/>
                <w:szCs w:val="21"/>
              </w:rPr>
              <w:t>英语</w:t>
            </w:r>
            <w:r>
              <w:t>教学大纲》开设，并与本专业实际和行业发展密切结合</w:t>
            </w:r>
          </w:p>
        </w:tc>
        <w:tc>
          <w:tcPr>
            <w:tcW w:w="1418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cs="楷体" w:asciiTheme="minorEastAsia" w:hAnsiTheme="minorEastAsia" w:eastAsiaTheme="minorEastAsia"/>
                <w:szCs w:val="21"/>
              </w:rPr>
              <w:t>8</w:t>
            </w:r>
          </w:p>
        </w:tc>
        <w:tc>
          <w:tcPr>
            <w:tcW w:w="2014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信息技术</w:t>
            </w:r>
          </w:p>
        </w:tc>
        <w:tc>
          <w:tcPr>
            <w:tcW w:w="5953" w:type="dxa"/>
          </w:tcPr>
          <w:p>
            <w:pPr>
              <w:spacing w:line="320" w:lineRule="exact"/>
              <w:ind w:firstLine="408" w:firstLineChars="200"/>
              <w:rPr>
                <w:rFonts w:cs="楷体" w:asciiTheme="minorEastAsia" w:hAnsiTheme="minorEastAsia" w:eastAsiaTheme="minorEastAsia"/>
                <w:szCs w:val="21"/>
              </w:rPr>
            </w:pPr>
            <w:r>
              <w:t>依据《中等职业学校</w:t>
            </w:r>
            <w:r>
              <w:rPr>
                <w:rFonts w:hint="eastAsia" w:cs="楷体" w:asciiTheme="minorEastAsia" w:hAnsiTheme="minorEastAsia" w:eastAsiaTheme="minorEastAsia"/>
                <w:szCs w:val="21"/>
              </w:rPr>
              <w:t>信息技术</w:t>
            </w:r>
            <w:r>
              <w:t>教学大纲》开设，并与本专业实际和行业发展密切结合</w:t>
            </w:r>
          </w:p>
        </w:tc>
        <w:tc>
          <w:tcPr>
            <w:tcW w:w="1418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</w:t>
            </w:r>
            <w:r>
              <w:rPr>
                <w:rFonts w:cs="宋体" w:asciiTheme="minorEastAsia" w:hAnsiTheme="minorEastAsia" w:eastAsiaTheme="minorEastAsia"/>
                <w:szCs w:val="21"/>
              </w:rP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cs="楷体" w:asciiTheme="minorEastAsia" w:hAnsiTheme="minorEastAsia" w:eastAsiaTheme="minorEastAsia"/>
                <w:szCs w:val="21"/>
              </w:rPr>
              <w:t>9</w:t>
            </w:r>
          </w:p>
        </w:tc>
        <w:tc>
          <w:tcPr>
            <w:tcW w:w="2014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体育与健康</w:t>
            </w:r>
          </w:p>
        </w:tc>
        <w:tc>
          <w:tcPr>
            <w:tcW w:w="5953" w:type="dxa"/>
          </w:tcPr>
          <w:p>
            <w:pPr>
              <w:spacing w:line="320" w:lineRule="exact"/>
              <w:ind w:firstLine="408" w:firstLineChars="200"/>
              <w:rPr>
                <w:rFonts w:cs="楷体" w:asciiTheme="minorEastAsia" w:hAnsiTheme="minorEastAsia" w:eastAsiaTheme="minorEastAsia"/>
                <w:szCs w:val="21"/>
              </w:rPr>
            </w:pPr>
            <w:r>
              <w:t>依据《中等职业学校</w:t>
            </w:r>
            <w:r>
              <w:rPr>
                <w:rFonts w:hint="eastAsia" w:cs="楷体" w:asciiTheme="minorEastAsia" w:hAnsiTheme="minorEastAsia" w:eastAsiaTheme="minorEastAsia"/>
                <w:szCs w:val="21"/>
              </w:rPr>
              <w:t>体育与健康</w:t>
            </w:r>
            <w:r>
              <w:t>教学大纲》开设，并与本专业实际和行业发展密切结合</w:t>
            </w:r>
          </w:p>
        </w:tc>
        <w:tc>
          <w:tcPr>
            <w:tcW w:w="1418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cs="楷体" w:asciiTheme="minorEastAsia" w:hAnsiTheme="minorEastAsia" w:eastAsiaTheme="minorEastAsia"/>
                <w:szCs w:val="21"/>
              </w:rPr>
              <w:t>10</w:t>
            </w:r>
          </w:p>
        </w:tc>
        <w:tc>
          <w:tcPr>
            <w:tcW w:w="2014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公共艺术</w:t>
            </w:r>
          </w:p>
        </w:tc>
        <w:tc>
          <w:tcPr>
            <w:tcW w:w="5953" w:type="dxa"/>
          </w:tcPr>
          <w:p>
            <w:pPr>
              <w:spacing w:line="320" w:lineRule="exact"/>
              <w:ind w:firstLine="408" w:firstLineChars="200"/>
              <w:rPr>
                <w:rFonts w:cs="楷体" w:asciiTheme="minorEastAsia" w:hAnsiTheme="minorEastAsia" w:eastAsiaTheme="minorEastAsia"/>
                <w:szCs w:val="21"/>
              </w:rPr>
            </w:pPr>
            <w:r>
              <w:t>依据《中等职业学校</w:t>
            </w:r>
            <w:r>
              <w:rPr>
                <w:rFonts w:hint="eastAsia" w:cs="楷体" w:asciiTheme="minorEastAsia" w:hAnsiTheme="minorEastAsia" w:eastAsiaTheme="minorEastAsia"/>
                <w:szCs w:val="21"/>
              </w:rPr>
              <w:t>公共艺术</w:t>
            </w:r>
            <w:r>
              <w:t>教学大纲》开设，并与本专业实际和行业发展密切结合</w:t>
            </w:r>
          </w:p>
        </w:tc>
        <w:tc>
          <w:tcPr>
            <w:tcW w:w="1418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cs="楷体" w:asciiTheme="minorEastAsia" w:hAnsiTheme="minorEastAsia" w:eastAsiaTheme="minorEastAsia"/>
                <w:szCs w:val="21"/>
              </w:rPr>
              <w:t>11</w:t>
            </w:r>
          </w:p>
        </w:tc>
        <w:tc>
          <w:tcPr>
            <w:tcW w:w="2014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历史</w:t>
            </w:r>
          </w:p>
        </w:tc>
        <w:tc>
          <w:tcPr>
            <w:tcW w:w="5953" w:type="dxa"/>
          </w:tcPr>
          <w:p>
            <w:pPr>
              <w:spacing w:line="320" w:lineRule="exact"/>
              <w:ind w:firstLine="408" w:firstLineChars="200"/>
              <w:rPr>
                <w:rFonts w:cs="楷体" w:asciiTheme="minorEastAsia" w:hAnsiTheme="minorEastAsia" w:eastAsiaTheme="minorEastAsia"/>
                <w:szCs w:val="21"/>
              </w:rPr>
            </w:pPr>
            <w:r>
              <w:t>依据《中等职业学校</w:t>
            </w:r>
            <w:r>
              <w:rPr>
                <w:rFonts w:hint="eastAsia" w:cs="楷体" w:asciiTheme="minorEastAsia" w:hAnsiTheme="minorEastAsia" w:eastAsiaTheme="minorEastAsia"/>
                <w:szCs w:val="21"/>
              </w:rPr>
              <w:t>历史</w:t>
            </w:r>
            <w:r>
              <w:t>教学大纲》开设，并与本专业实际和行业发展密切结合</w:t>
            </w:r>
          </w:p>
        </w:tc>
        <w:tc>
          <w:tcPr>
            <w:tcW w:w="1418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</w:tr>
    </w:tbl>
    <w:p>
      <w:pPr>
        <w:pStyle w:val="4"/>
        <w:numPr>
          <w:ilvl w:val="0"/>
          <w:numId w:val="5"/>
        </w:numPr>
        <w:spacing w:line="440" w:lineRule="exact"/>
        <w:rPr>
          <w:rFonts w:cs="黑体" w:asciiTheme="minorEastAsia" w:hAnsiTheme="minorEastAsia" w:eastAsiaTheme="minorEastAsia"/>
          <w:sz w:val="24"/>
          <w:szCs w:val="16"/>
        </w:rPr>
      </w:pPr>
      <w:bookmarkStart w:id="11" w:name="_Toc99454614"/>
      <w:r>
        <w:rPr>
          <w:rFonts w:hint="eastAsia" w:cs="黑体" w:asciiTheme="minorEastAsia" w:hAnsiTheme="minorEastAsia" w:eastAsiaTheme="minorEastAsia"/>
          <w:sz w:val="24"/>
          <w:szCs w:val="16"/>
        </w:rPr>
        <w:t>专业技能课程</w:t>
      </w:r>
      <w:bookmarkEnd w:id="11"/>
    </w:p>
    <w:p>
      <w:pPr>
        <w:pStyle w:val="5"/>
        <w:numPr>
          <w:ilvl w:val="0"/>
          <w:numId w:val="6"/>
        </w:numPr>
        <w:spacing w:line="440" w:lineRule="exact"/>
        <w:ind w:hanging="25"/>
        <w:rPr>
          <w:rFonts w:cs="仿宋" w:asciiTheme="minorEastAsia" w:hAnsiTheme="minorEastAsia" w:eastAsiaTheme="minorEastAsia"/>
          <w:sz w:val="24"/>
          <w:szCs w:val="18"/>
        </w:rPr>
      </w:pPr>
      <w:r>
        <w:rPr>
          <w:rFonts w:hint="eastAsia" w:cs="仿宋" w:asciiTheme="minorEastAsia" w:hAnsiTheme="minorEastAsia" w:eastAsiaTheme="minorEastAsia"/>
          <w:sz w:val="24"/>
          <w:szCs w:val="18"/>
        </w:rPr>
        <w:t>专业核心课</w:t>
      </w:r>
    </w:p>
    <w:tbl>
      <w:tblPr>
        <w:tblStyle w:val="17"/>
        <w:tblW w:w="10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979"/>
        <w:gridCol w:w="6379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rPr>
                <w:rFonts w:hint="eastAsia" w:cs="楷体" w:asciiTheme="minorEastAsia" w:hAnsiTheme="minorEastAsia"/>
                <w:szCs w:val="24"/>
              </w:rPr>
              <w:t>序号</w:t>
            </w:r>
          </w:p>
        </w:tc>
        <w:tc>
          <w:tcPr>
            <w:tcW w:w="1979" w:type="dxa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rPr>
                <w:rFonts w:hint="eastAsia" w:cs="楷体" w:asciiTheme="minorEastAsia" w:hAnsiTheme="minorEastAsia"/>
                <w:szCs w:val="24"/>
              </w:rPr>
              <w:t>课程名称</w:t>
            </w:r>
          </w:p>
        </w:tc>
        <w:tc>
          <w:tcPr>
            <w:tcW w:w="6379" w:type="dxa"/>
            <w:shd w:val="clear" w:color="auto" w:fill="D9E2F3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rPr>
                <w:rFonts w:hint="eastAsia" w:cs="楷体" w:asciiTheme="minorEastAsia" w:hAnsiTheme="minorEastAsia"/>
                <w:szCs w:val="24"/>
              </w:rPr>
              <w:t>主要教学内容和要求</w:t>
            </w:r>
          </w:p>
        </w:tc>
        <w:tc>
          <w:tcPr>
            <w:tcW w:w="851" w:type="dxa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rPr>
                <w:rFonts w:hint="eastAsia" w:cs="楷体" w:asciiTheme="minorEastAsia" w:hAnsiTheme="minorEastAsia"/>
                <w:szCs w:val="24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rPr>
                <w:rFonts w:hint="eastAsia" w:cs="楷体" w:asciiTheme="minorEastAsia" w:hAnsiTheme="minor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t>药用化学基础</w:t>
            </w:r>
          </w:p>
        </w:tc>
        <w:tc>
          <w:tcPr>
            <w:tcW w:w="6379" w:type="dxa"/>
          </w:tcPr>
          <w:p>
            <w:pPr>
              <w:spacing w:line="320" w:lineRule="exact"/>
              <w:ind w:firstLine="408" w:firstLineChars="200"/>
              <w:jc w:val="left"/>
              <w:rPr>
                <w:rFonts w:cs="楷体" w:asciiTheme="minorEastAsia" w:hAnsiTheme="minorEastAsia"/>
                <w:szCs w:val="24"/>
              </w:rPr>
            </w:pPr>
            <w:r>
              <w:rPr>
                <w:rFonts w:hint="eastAsia" w:cs="楷体" w:asciiTheme="minorEastAsia" w:hAnsiTheme="minorEastAsia"/>
                <w:szCs w:val="24"/>
              </w:rPr>
              <w:t>掌握洗涤和使用普通玻璃仪器，取样、称量、溶解、配制和稀释溶液、测定溶液酸碱性，使用容量分析仪器进行物质含量的测定等的操作技能；熟悉有关无机和有机化合物的理化性质、主要化学反应等知识；能完成本专业相关岗位的工作任务。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rPr>
                <w:rFonts w:hint="eastAsia" w:cs="楷体" w:asciiTheme="minorEastAsia" w:hAnsiTheme="minorEastAsia"/>
                <w:szCs w:val="24"/>
              </w:rPr>
              <w:t>1</w:t>
            </w:r>
            <w:r>
              <w:rPr>
                <w:rFonts w:cs="楷体" w:asciiTheme="minorEastAsia" w:hAnsiTheme="minorEastAsia"/>
                <w:szCs w:val="24"/>
              </w:rP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rPr>
                <w:rFonts w:hint="eastAsia" w:cs="楷体" w:asciiTheme="minorEastAsia" w:hAnsiTheme="minorEastAsia"/>
                <w:szCs w:val="24"/>
              </w:rPr>
              <w:t>2</w:t>
            </w:r>
          </w:p>
        </w:tc>
        <w:tc>
          <w:tcPr>
            <w:tcW w:w="1979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rPr>
                <w:rFonts w:hint="eastAsia" w:cs="楷体" w:asciiTheme="minorEastAsia" w:hAnsiTheme="minorEastAsia"/>
                <w:szCs w:val="24"/>
              </w:rPr>
              <w:t>人体解剖生理学基础</w:t>
            </w:r>
          </w:p>
        </w:tc>
        <w:tc>
          <w:tcPr>
            <w:tcW w:w="6379" w:type="dxa"/>
          </w:tcPr>
          <w:p>
            <w:pPr>
              <w:spacing w:line="320" w:lineRule="exact"/>
              <w:ind w:firstLine="408" w:firstLineChars="200"/>
              <w:jc w:val="left"/>
              <w:rPr>
                <w:rFonts w:cs="楷体" w:asciiTheme="minorEastAsia" w:hAnsiTheme="minorEastAsia"/>
                <w:szCs w:val="24"/>
              </w:rPr>
            </w:pPr>
            <w:r>
              <w:rPr>
                <w:rFonts w:hint="eastAsia" w:cs="楷体" w:asciiTheme="minorEastAsia" w:hAnsiTheme="minorEastAsia"/>
                <w:szCs w:val="24"/>
              </w:rPr>
              <w:t>掌握人体解剖生理学的基本概念，生命活动的基本过程及其调节过程。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/>
                <w:color w:val="FF0000"/>
                <w:szCs w:val="24"/>
              </w:rPr>
            </w:pPr>
            <w:r>
              <w:rPr>
                <w:rFonts w:hint="eastAsia" w:cs="宋体" w:asciiTheme="minorEastAsia" w:hAnsiTheme="minorEastAsia"/>
                <w:szCs w:val="24"/>
              </w:rPr>
              <w:t>7</w:t>
            </w:r>
            <w:r>
              <w:rPr>
                <w:rFonts w:cs="宋体" w:asciiTheme="minorEastAsia" w:hAnsiTheme="minorEastAsia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rPr>
                <w:rFonts w:cs="楷体" w:asciiTheme="minorEastAsia" w:hAnsiTheme="minorEastAsia"/>
                <w:szCs w:val="24"/>
              </w:rPr>
              <w:t>3</w:t>
            </w:r>
          </w:p>
        </w:tc>
        <w:tc>
          <w:tcPr>
            <w:tcW w:w="1979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t>微生物学基础</w:t>
            </w:r>
          </w:p>
        </w:tc>
        <w:tc>
          <w:tcPr>
            <w:tcW w:w="6379" w:type="dxa"/>
          </w:tcPr>
          <w:p>
            <w:pPr>
              <w:spacing w:line="320" w:lineRule="exact"/>
              <w:ind w:firstLine="408" w:firstLineChars="200"/>
              <w:rPr>
                <w:rFonts w:cs="楷体" w:asciiTheme="minorEastAsia" w:hAnsiTheme="minorEastAsia"/>
                <w:szCs w:val="24"/>
              </w:rPr>
            </w:pPr>
            <w:r>
              <w:t>掌握微生物学的基础理论、基本知识和基本操作技 能，熟悉微生物学的基本研究方法和手段</w:t>
            </w:r>
            <w:r>
              <w:rPr>
                <w:rFonts w:hint="eastAsia"/>
              </w:rPr>
              <w:t>。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/>
                <w:szCs w:val="24"/>
              </w:rPr>
            </w:pPr>
            <w:r>
              <w:rPr>
                <w:rFonts w:hint="eastAsia" w:cs="宋体" w:asciiTheme="minorEastAsia" w:hAnsiTheme="minorEastAsia"/>
                <w:szCs w:val="24"/>
              </w:rPr>
              <w:t>3</w:t>
            </w:r>
            <w:r>
              <w:rPr>
                <w:rFonts w:cs="宋体" w:asciiTheme="minorEastAsia" w:hAnsiTheme="minorEastAsia"/>
                <w:szCs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rPr>
                <w:rFonts w:cs="楷体" w:asciiTheme="minorEastAsia" w:hAnsiTheme="minorEastAsia"/>
                <w:szCs w:val="24"/>
              </w:rPr>
              <w:t>4</w:t>
            </w:r>
          </w:p>
        </w:tc>
        <w:tc>
          <w:tcPr>
            <w:tcW w:w="1979" w:type="dxa"/>
            <w:vAlign w:val="center"/>
          </w:tcPr>
          <w:p>
            <w:pPr>
              <w:spacing w:line="320" w:lineRule="exact"/>
              <w:jc w:val="center"/>
            </w:pPr>
            <w:r>
              <w:t>中医基础理论</w:t>
            </w:r>
          </w:p>
        </w:tc>
        <w:tc>
          <w:tcPr>
            <w:tcW w:w="6379" w:type="dxa"/>
          </w:tcPr>
          <w:p>
            <w:pPr>
              <w:spacing w:line="320" w:lineRule="exact"/>
              <w:ind w:firstLine="408" w:firstLineChars="200"/>
              <w:rPr>
                <w:rFonts w:cs="楷体" w:asciiTheme="minorEastAsia" w:hAnsiTheme="minorEastAsia"/>
                <w:szCs w:val="24"/>
              </w:rPr>
            </w:pPr>
            <w:r>
              <w:t>熟悉有关中医学的基本理论、基本知识和基本思维方法（包括中医学的思维方法：精气、阴阳、五行学说）；熟悉中医学对人体生理的认识：藏象、精气血津液神、经络、体质等</w:t>
            </w:r>
            <w:r>
              <w:rPr>
                <w:rFonts w:hint="eastAsia"/>
              </w:rPr>
              <w:t>。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/>
                <w:szCs w:val="24"/>
              </w:rPr>
            </w:pPr>
            <w:r>
              <w:rPr>
                <w:rFonts w:hint="eastAsia" w:cs="宋体" w:asciiTheme="minorEastAsia" w:hAnsiTheme="minorEastAsia"/>
                <w:szCs w:val="24"/>
              </w:rPr>
              <w:t>5</w:t>
            </w:r>
            <w:r>
              <w:rPr>
                <w:rFonts w:cs="宋体" w:asciiTheme="minorEastAsia" w:hAnsiTheme="minorEastAsia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rPr>
                <w:rFonts w:cs="楷体" w:asciiTheme="minorEastAsia" w:hAnsiTheme="minorEastAsia"/>
                <w:szCs w:val="24"/>
              </w:rPr>
              <w:t>5</w:t>
            </w:r>
          </w:p>
        </w:tc>
        <w:tc>
          <w:tcPr>
            <w:tcW w:w="1979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t>中药学</w:t>
            </w:r>
          </w:p>
        </w:tc>
        <w:tc>
          <w:tcPr>
            <w:tcW w:w="6379" w:type="dxa"/>
          </w:tcPr>
          <w:p>
            <w:pPr>
              <w:spacing w:line="320" w:lineRule="exact"/>
              <w:ind w:firstLine="408" w:firstLineChars="200"/>
              <w:rPr>
                <w:rFonts w:cs="楷体" w:asciiTheme="minorEastAsia" w:hAnsiTheme="minorEastAsia"/>
                <w:szCs w:val="24"/>
              </w:rPr>
            </w:pPr>
            <w:r>
              <w:t>掌握中药的起源和发展；中药的产地与采集，药材的 概念以及在保证药效的前提下，如何发展道地药材；中 药炮制的概念、目的与方法；中药药性的概念、中药治 病的机理，中药配伍的目的、原则及药物“七情”的概念； 中药配合应用规律；用药禁忌的概念及主要内容；用药 剂量与用法，剂量与疗效的关系，确定剂量的依据及 中药煎服法等内容</w:t>
            </w:r>
            <w:r>
              <w:rPr>
                <w:rFonts w:hint="eastAsia"/>
              </w:rPr>
              <w:t>。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/>
                <w:szCs w:val="24"/>
              </w:rPr>
            </w:pPr>
            <w:r>
              <w:rPr>
                <w:rFonts w:hint="eastAsia" w:cs="宋体" w:asciiTheme="minorEastAsia" w:hAnsiTheme="minorEastAsia"/>
                <w:szCs w:val="24"/>
              </w:rPr>
              <w:t>7</w:t>
            </w:r>
            <w:r>
              <w:rPr>
                <w:rFonts w:cs="宋体" w:asciiTheme="minorEastAsia" w:hAnsiTheme="minorEastAsia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rPr>
                <w:rFonts w:cs="楷体" w:asciiTheme="minorEastAsia" w:hAnsiTheme="minorEastAsia"/>
                <w:szCs w:val="24"/>
              </w:rPr>
              <w:t>6</w:t>
            </w:r>
          </w:p>
        </w:tc>
        <w:tc>
          <w:tcPr>
            <w:tcW w:w="1979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t>中药药理学基础</w:t>
            </w:r>
          </w:p>
        </w:tc>
        <w:tc>
          <w:tcPr>
            <w:tcW w:w="6379" w:type="dxa"/>
          </w:tcPr>
          <w:p>
            <w:pPr>
              <w:spacing w:line="320" w:lineRule="exact"/>
              <w:ind w:firstLine="408" w:firstLineChars="200"/>
              <w:rPr>
                <w:rFonts w:cs="楷体" w:asciiTheme="minorEastAsia" w:hAnsiTheme="minorEastAsia"/>
                <w:szCs w:val="24"/>
              </w:rPr>
            </w:pPr>
            <w:r>
              <w:t>熟悉常用中药对机体的药理作用产生的主要机理和 物质基础，以及机体对药物作用的基本规律。掌握常 用药物的合理使用原则</w:t>
            </w:r>
            <w:r>
              <w:rPr>
                <w:rFonts w:hint="eastAsia"/>
              </w:rPr>
              <w:t>。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/>
                <w:szCs w:val="24"/>
              </w:rPr>
            </w:pPr>
            <w:r>
              <w:rPr>
                <w:rFonts w:hint="eastAsia" w:cs="宋体" w:asciiTheme="minorEastAsia" w:hAnsiTheme="minorEastAsia"/>
                <w:szCs w:val="24"/>
              </w:rPr>
              <w:t>5</w:t>
            </w:r>
            <w:r>
              <w:rPr>
                <w:rFonts w:cs="宋体" w:asciiTheme="minorEastAsia" w:hAnsiTheme="minorEastAsia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rPr>
                <w:rFonts w:hint="eastAsia" w:cs="楷体" w:asciiTheme="minorEastAsia" w:hAnsiTheme="minorEastAsia"/>
                <w:szCs w:val="24"/>
              </w:rPr>
              <w:t>7</w:t>
            </w:r>
          </w:p>
        </w:tc>
        <w:tc>
          <w:tcPr>
            <w:tcW w:w="1979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t>中药化学实用技术</w:t>
            </w:r>
          </w:p>
        </w:tc>
        <w:tc>
          <w:tcPr>
            <w:tcW w:w="6379" w:type="dxa"/>
          </w:tcPr>
          <w:p>
            <w:pPr>
              <w:spacing w:line="320" w:lineRule="exact"/>
              <w:ind w:firstLine="408" w:firstLineChars="200"/>
            </w:pPr>
            <w:r>
              <w:t>了解有效成分的结构与中药构效之间的关系；掌握中药中主要类型化学成分的概念、基本化学结构及分类、 重要理化性质、常用提取分离和检识方法，重要类型 化学成分（如黄酮、蒽醌等）的波谱特征及结构确定 方法，熟悉某些常见中药所含主要成分的结构类型、 重要理化性质、提取分离和检识方法。能熟练进行中药提取各工序的操作，会对各种溶剂、试剂使用量进行计算，能正确使用和调节中药提取分离设备、器具 并进行维护保养，具有对原料、溶剂、工艺用水以及 提取物进行质量检测的能力</w:t>
            </w:r>
            <w:r>
              <w:rPr>
                <w:rFonts w:hint="eastAsia"/>
              </w:rPr>
              <w:t>。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/>
                <w:szCs w:val="24"/>
              </w:rPr>
            </w:pPr>
            <w:r>
              <w:rPr>
                <w:rFonts w:hint="eastAsia" w:cs="宋体" w:asciiTheme="minorEastAsia" w:hAnsiTheme="minorEastAsia"/>
                <w:szCs w:val="24"/>
              </w:rPr>
              <w:t>7</w:t>
            </w:r>
            <w:r>
              <w:rPr>
                <w:rFonts w:cs="宋体" w:asciiTheme="minorEastAsia" w:hAnsiTheme="minorEastAsia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rPr>
                <w:rFonts w:hint="eastAsia" w:cs="楷体" w:asciiTheme="minorEastAsia" w:hAnsiTheme="minorEastAsia"/>
                <w:szCs w:val="24"/>
              </w:rPr>
              <w:t>8</w:t>
            </w:r>
          </w:p>
        </w:tc>
        <w:tc>
          <w:tcPr>
            <w:tcW w:w="1979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t>方剂学</w:t>
            </w:r>
          </w:p>
        </w:tc>
        <w:tc>
          <w:tcPr>
            <w:tcW w:w="6379" w:type="dxa"/>
          </w:tcPr>
          <w:p>
            <w:pPr>
              <w:spacing w:line="320" w:lineRule="exact"/>
              <w:ind w:firstLine="408" w:firstLineChars="200"/>
              <w:rPr>
                <w:rFonts w:cs="宋体" w:asciiTheme="minorEastAsia" w:hAnsiTheme="minorEastAsia"/>
                <w:kern w:val="0"/>
                <w:szCs w:val="24"/>
              </w:rPr>
            </w:pPr>
            <w:r>
              <w:t>按病邪由表及里、病症由简单到复杂、由个别到综 合的原则，以病症为教学载体，按审方调配、问病荐药实际工作过程为学习情境来设计教学内容，着重培养学生在中药调剂、中药临方制剂、中药购销、中药 营业上的审方调配、问病荐药能力。加深对中药作用的理解，同时也培养了职业技能</w:t>
            </w:r>
            <w:r>
              <w:rPr>
                <w:rFonts w:hint="eastAsia"/>
              </w:rPr>
              <w:t>。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/>
                <w:szCs w:val="24"/>
              </w:rPr>
            </w:pPr>
            <w:r>
              <w:rPr>
                <w:rFonts w:hint="eastAsia" w:cs="宋体" w:asciiTheme="minorEastAsia" w:hAnsiTheme="minorEastAsia"/>
                <w:szCs w:val="24"/>
              </w:rPr>
              <w:t>5</w:t>
            </w:r>
            <w:r>
              <w:rPr>
                <w:rFonts w:cs="宋体" w:asciiTheme="minorEastAsia" w:hAnsiTheme="minorEastAsia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rPr>
                <w:rFonts w:hint="eastAsia" w:cs="楷体" w:asciiTheme="minorEastAsia" w:hAnsiTheme="minorEastAsia"/>
                <w:szCs w:val="24"/>
              </w:rPr>
              <w:t>9</w:t>
            </w:r>
          </w:p>
        </w:tc>
        <w:tc>
          <w:tcPr>
            <w:tcW w:w="1979" w:type="dxa"/>
            <w:vAlign w:val="center"/>
          </w:tcPr>
          <w:p>
            <w:pPr>
              <w:spacing w:line="320" w:lineRule="exact"/>
              <w:jc w:val="center"/>
            </w:pPr>
            <w:r>
              <w:t>药用植物学基础</w:t>
            </w:r>
          </w:p>
        </w:tc>
        <w:tc>
          <w:tcPr>
            <w:tcW w:w="6379" w:type="dxa"/>
          </w:tcPr>
          <w:p>
            <w:pPr>
              <w:spacing w:line="320" w:lineRule="exact"/>
              <w:ind w:firstLine="408" w:firstLineChars="200"/>
              <w:rPr>
                <w:rFonts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Cs w:val="21"/>
              </w:rPr>
              <w:t>了解药用植物形态、组织、功能、分类鉴定、细胞组织培养、资源开发和合理利用的学科。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/>
                <w:szCs w:val="24"/>
              </w:rPr>
            </w:pPr>
            <w:r>
              <w:rPr>
                <w:rFonts w:hint="eastAsia" w:cs="宋体" w:asciiTheme="minorEastAsia" w:hAnsiTheme="minorEastAsia"/>
                <w:szCs w:val="24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rPr>
                <w:rFonts w:hint="eastAsia" w:cs="楷体" w:asciiTheme="minorEastAsia" w:hAnsiTheme="minorEastAsia"/>
                <w:szCs w:val="24"/>
              </w:rPr>
              <w:t>10</w:t>
            </w:r>
          </w:p>
        </w:tc>
        <w:tc>
          <w:tcPr>
            <w:tcW w:w="1979" w:type="dxa"/>
            <w:vAlign w:val="center"/>
          </w:tcPr>
          <w:p>
            <w:pPr>
              <w:spacing w:line="320" w:lineRule="exact"/>
              <w:jc w:val="center"/>
            </w:pPr>
            <w:r>
              <w:t>药事法规</w:t>
            </w:r>
          </w:p>
        </w:tc>
        <w:tc>
          <w:tcPr>
            <w:tcW w:w="6379" w:type="dxa"/>
          </w:tcPr>
          <w:p>
            <w:pPr>
              <w:spacing w:line="320" w:lineRule="exact"/>
              <w:ind w:firstLine="408" w:firstLineChars="200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color w:val="231F20"/>
                <w:szCs w:val="21"/>
              </w:rPr>
              <w:t>掌握我国药品管理的主要法律法规，了解药品研制、生产、经营、使用等主要环节的管理和监督，以及基本规律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/>
                <w:szCs w:val="24"/>
              </w:rPr>
            </w:pPr>
            <w:r>
              <w:rPr>
                <w:rFonts w:hint="eastAsia" w:cs="宋体" w:asciiTheme="minorEastAsia" w:hAnsiTheme="minorEastAsia"/>
                <w:szCs w:val="24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rPr>
                <w:rFonts w:hint="eastAsia" w:cs="楷体" w:asciiTheme="minorEastAsia" w:hAnsiTheme="minorEastAsia"/>
                <w:szCs w:val="24"/>
              </w:rPr>
              <w:t>11</w:t>
            </w:r>
          </w:p>
        </w:tc>
        <w:tc>
          <w:tcPr>
            <w:tcW w:w="1979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color w:val="231F20"/>
                <w:szCs w:val="21"/>
              </w:rPr>
              <w:t>药品生产质量管理</w:t>
            </w:r>
          </w:p>
        </w:tc>
        <w:tc>
          <w:tcPr>
            <w:tcW w:w="6379" w:type="dxa"/>
          </w:tcPr>
          <w:p>
            <w:pPr>
              <w:spacing w:line="320" w:lineRule="exact"/>
              <w:ind w:firstLine="404" w:firstLineChars="200"/>
              <w:rPr>
                <w:color w:val="231F20"/>
                <w:szCs w:val="21"/>
              </w:rPr>
            </w:pPr>
            <w:r>
              <w:rPr>
                <w:color w:val="231F20"/>
                <w:spacing w:val="-1"/>
                <w:szCs w:val="21"/>
              </w:rPr>
              <w:t xml:space="preserve">了解 </w:t>
            </w:r>
            <w:r>
              <w:rPr>
                <w:color w:val="231F20"/>
                <w:w w:val="130"/>
                <w:szCs w:val="21"/>
              </w:rPr>
              <w:t>GMP</w:t>
            </w:r>
            <w:r>
              <w:rPr>
                <w:color w:val="231F20"/>
                <w:spacing w:val="-46"/>
                <w:w w:val="130"/>
                <w:szCs w:val="21"/>
              </w:rPr>
              <w:t xml:space="preserve"> </w:t>
            </w:r>
            <w:r>
              <w:rPr>
                <w:color w:val="231F20"/>
                <w:spacing w:val="5"/>
                <w:szCs w:val="21"/>
              </w:rPr>
              <w:t>的实施目的、意义及发展趋势等；掌握</w:t>
            </w:r>
            <w:r>
              <w:rPr>
                <w:color w:val="231F20"/>
                <w:w w:val="130"/>
                <w:szCs w:val="21"/>
              </w:rPr>
              <w:t>GMP</w:t>
            </w:r>
            <w:r>
              <w:rPr>
                <w:color w:val="231F20"/>
                <w:spacing w:val="-49"/>
                <w:w w:val="130"/>
                <w:szCs w:val="21"/>
              </w:rPr>
              <w:t xml:space="preserve"> </w:t>
            </w:r>
            <w:r>
              <w:rPr>
                <w:color w:val="231F20"/>
                <w:spacing w:val="-2"/>
                <w:szCs w:val="21"/>
              </w:rPr>
              <w:t xml:space="preserve">的基本控制要求，全面质量管理理论和 </w:t>
            </w:r>
            <w:r>
              <w:rPr>
                <w:color w:val="231F20"/>
                <w:w w:val="130"/>
                <w:szCs w:val="21"/>
              </w:rPr>
              <w:t>PDCA</w:t>
            </w:r>
            <w:r>
              <w:rPr>
                <w:color w:val="231F20"/>
                <w:spacing w:val="-49"/>
                <w:w w:val="130"/>
                <w:szCs w:val="21"/>
              </w:rPr>
              <w:t xml:space="preserve"> </w:t>
            </w:r>
            <w:r>
              <w:rPr>
                <w:color w:val="231F20"/>
                <w:spacing w:val="-11"/>
                <w:szCs w:val="21"/>
              </w:rPr>
              <w:t>循</w:t>
            </w:r>
            <w:r>
              <w:rPr>
                <w:color w:val="231F20"/>
                <w:spacing w:val="-10"/>
                <w:szCs w:val="21"/>
              </w:rPr>
              <w:t>环的实施步骤；掌握影响药品生产质量的厂房设施与设</w:t>
            </w:r>
            <w:r>
              <w:rPr>
                <w:color w:val="231F20"/>
                <w:szCs w:val="21"/>
              </w:rPr>
              <w:t>备系统、物料系统、生产系统、质量管理系统、卫生</w:t>
            </w:r>
            <w:r>
              <w:rPr>
                <w:color w:val="231F20"/>
                <w:spacing w:val="4"/>
                <w:szCs w:val="21"/>
              </w:rPr>
              <w:t>系统及实验室控制系统等六大系统的关键因素，掌握药品生产企业关键岗位的人员配备要求、验证以及认</w:t>
            </w:r>
            <w:r>
              <w:rPr>
                <w:color w:val="231F20"/>
                <w:spacing w:val="-9"/>
                <w:szCs w:val="21"/>
              </w:rPr>
              <w:t>证的要点；熟悉各个系统的配置要求、验证以及认证的</w:t>
            </w:r>
            <w:r>
              <w:rPr>
                <w:color w:val="231F20"/>
                <w:spacing w:val="1"/>
                <w:szCs w:val="21"/>
              </w:rPr>
              <w:t>要点，熟悉组织机构设计、物料质量控制、硬件设计布局、检验控制、生产流程控制、清洁效果验证以及</w:t>
            </w:r>
            <w:r>
              <w:rPr>
                <w:color w:val="231F20"/>
                <w:spacing w:val="-6"/>
                <w:szCs w:val="21"/>
              </w:rPr>
              <w:t xml:space="preserve">编制基本 </w:t>
            </w:r>
            <w:r>
              <w:rPr>
                <w:color w:val="231F20"/>
                <w:w w:val="130"/>
                <w:szCs w:val="21"/>
              </w:rPr>
              <w:t>SMP</w:t>
            </w:r>
            <w:r>
              <w:rPr>
                <w:color w:val="231F20"/>
                <w:spacing w:val="-59"/>
                <w:w w:val="130"/>
                <w:szCs w:val="21"/>
              </w:rPr>
              <w:t xml:space="preserve"> </w:t>
            </w:r>
            <w:r>
              <w:rPr>
                <w:color w:val="231F20"/>
                <w:spacing w:val="-16"/>
                <w:szCs w:val="21"/>
              </w:rPr>
              <w:t xml:space="preserve">和 </w:t>
            </w:r>
            <w:r>
              <w:rPr>
                <w:color w:val="231F20"/>
                <w:w w:val="130"/>
                <w:szCs w:val="21"/>
              </w:rPr>
              <w:t>SOP</w:t>
            </w:r>
            <w:r>
              <w:rPr>
                <w:color w:val="231F20"/>
                <w:spacing w:val="-58"/>
                <w:w w:val="130"/>
                <w:szCs w:val="21"/>
              </w:rPr>
              <w:t xml:space="preserve"> </w:t>
            </w:r>
            <w:r>
              <w:rPr>
                <w:color w:val="231F20"/>
                <w:spacing w:val="-10"/>
                <w:szCs w:val="21"/>
              </w:rPr>
              <w:t>的基本技能；学会质量改进和验</w:t>
            </w:r>
            <w:r>
              <w:rPr>
                <w:color w:val="231F20"/>
                <w:spacing w:val="3"/>
                <w:szCs w:val="21"/>
              </w:rPr>
              <w:t>证的方法，能比较正确地进行药品生产企业的生产和质量管理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/>
                <w:szCs w:val="24"/>
              </w:rPr>
            </w:pPr>
            <w:r>
              <w:rPr>
                <w:rFonts w:hint="eastAsia" w:cs="宋体" w:asciiTheme="minorEastAsia" w:hAnsiTheme="minorEastAsia"/>
                <w:szCs w:val="24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rPr>
                <w:rFonts w:hint="eastAsia" w:cs="楷体" w:asciiTheme="minorEastAsia" w:hAnsiTheme="minorEastAsia"/>
                <w:szCs w:val="24"/>
              </w:rPr>
              <w:t>12</w:t>
            </w:r>
          </w:p>
        </w:tc>
        <w:tc>
          <w:tcPr>
            <w:tcW w:w="1979" w:type="dxa"/>
            <w:vAlign w:val="center"/>
          </w:tcPr>
          <w:p>
            <w:pPr>
              <w:spacing w:line="320" w:lineRule="exact"/>
              <w:jc w:val="center"/>
            </w:pPr>
            <w:r>
              <w:rPr>
                <w:lang w:bidi="zh-CN"/>
              </w:rPr>
              <w:t>药品储存与养护</w:t>
            </w:r>
          </w:p>
        </w:tc>
        <w:tc>
          <w:tcPr>
            <w:tcW w:w="6379" w:type="dxa"/>
          </w:tcPr>
          <w:p>
            <w:pPr>
              <w:spacing w:line="320" w:lineRule="exact"/>
              <w:ind w:firstLine="408" w:firstLineChars="200"/>
              <w:rPr>
                <w:color w:val="231F20"/>
                <w:szCs w:val="21"/>
              </w:rPr>
            </w:pPr>
            <w:r>
              <w:rPr>
                <w:color w:val="231F20"/>
                <w:szCs w:val="21"/>
                <w:lang w:bidi="zh-CN"/>
              </w:rPr>
              <w:t>了解药品的分类储存管理，真菌的种类、现代药品养护新技术；掌握药品入库验收、出库的方法和原则， 药品变质的现象和原因，变质药品的保管养护方法， 温湿度对药品的影响，药品分类储存的方法和要求；掌握中成药的变异现象，特殊药品的概念和分类、储存和保管要求；熟悉真菌对药品的危害性，常见药品的养护技能。能进行常见药品的分类储存、仓库日常管理、真菌、害虫的预防和应对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/>
                <w:szCs w:val="24"/>
              </w:rPr>
            </w:pPr>
            <w:r>
              <w:rPr>
                <w:rFonts w:hint="eastAsia" w:cs="宋体" w:asciiTheme="minorEastAsia" w:hAnsiTheme="minorEastAsia"/>
                <w:szCs w:val="24"/>
              </w:rPr>
              <w:t>36</w:t>
            </w:r>
          </w:p>
        </w:tc>
      </w:tr>
    </w:tbl>
    <w:p>
      <w:pPr>
        <w:pStyle w:val="5"/>
        <w:numPr>
          <w:ilvl w:val="0"/>
          <w:numId w:val="6"/>
        </w:numPr>
        <w:spacing w:line="440" w:lineRule="exact"/>
        <w:ind w:hanging="25"/>
        <w:rPr>
          <w:rFonts w:cs="仿宋" w:asciiTheme="minorEastAsia" w:hAnsiTheme="minorEastAsia" w:eastAsiaTheme="minorEastAsia"/>
          <w:sz w:val="24"/>
          <w:szCs w:val="18"/>
        </w:rPr>
      </w:pPr>
      <w:r>
        <w:rPr>
          <w:rFonts w:hint="eastAsia" w:cs="仿宋" w:asciiTheme="minorEastAsia" w:hAnsiTheme="minorEastAsia" w:eastAsiaTheme="minorEastAsia"/>
          <w:sz w:val="24"/>
          <w:szCs w:val="18"/>
        </w:rPr>
        <w:t>专业（技能）方向课</w:t>
      </w:r>
    </w:p>
    <w:p>
      <w:pPr>
        <w:ind w:firstLine="332" w:firstLineChars="155"/>
        <w:rPr>
          <w:rFonts w:cs="宋体" w:asciiTheme="minorEastAsia" w:hAnsiTheme="minorEastAsia" w:eastAsiaTheme="minorEastAsia"/>
          <w:bCs/>
          <w:sz w:val="22"/>
          <w:szCs w:val="22"/>
        </w:rPr>
      </w:pPr>
      <w:r>
        <w:rPr>
          <w:rFonts w:hint="eastAsia" w:cs="宋体" w:asciiTheme="minorEastAsia" w:hAnsiTheme="minorEastAsia" w:eastAsiaTheme="minorEastAsia"/>
          <w:b/>
          <w:bCs/>
          <w:sz w:val="22"/>
          <w:szCs w:val="22"/>
        </w:rPr>
        <w:t>（1）</w:t>
      </w:r>
      <w:r>
        <w:rPr>
          <w:rFonts w:hint="eastAsia" w:asciiTheme="minorEastAsia" w:hAnsiTheme="minorEastAsia" w:eastAsiaTheme="minorEastAsia"/>
          <w:b/>
          <w:sz w:val="22"/>
          <w:szCs w:val="22"/>
        </w:rPr>
        <w:t>中药制剂</w:t>
      </w:r>
    </w:p>
    <w:tbl>
      <w:tblPr>
        <w:tblStyle w:val="17"/>
        <w:tblW w:w="10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155"/>
        <w:gridCol w:w="6237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序号</w:t>
            </w:r>
          </w:p>
        </w:tc>
        <w:tc>
          <w:tcPr>
            <w:tcW w:w="2155" w:type="dxa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课程名称</w:t>
            </w:r>
          </w:p>
        </w:tc>
        <w:tc>
          <w:tcPr>
            <w:tcW w:w="6237" w:type="dxa"/>
            <w:shd w:val="clear" w:color="auto" w:fill="D9E2F3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主要教学内容和要求</w:t>
            </w:r>
          </w:p>
        </w:tc>
        <w:tc>
          <w:tcPr>
            <w:tcW w:w="851" w:type="dxa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Cs w:val="21"/>
              </w:rPr>
              <w:t>1</w:t>
            </w:r>
          </w:p>
        </w:tc>
        <w:tc>
          <w:tcPr>
            <w:tcW w:w="2155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color w:val="FF0000"/>
                <w:szCs w:val="21"/>
              </w:rPr>
            </w:pPr>
            <w:r>
              <w:t>中成药学</w:t>
            </w:r>
          </w:p>
        </w:tc>
        <w:tc>
          <w:tcPr>
            <w:tcW w:w="6237" w:type="dxa"/>
          </w:tcPr>
          <w:p>
            <w:pPr>
              <w:spacing w:line="320" w:lineRule="exact"/>
              <w:ind w:firstLine="408" w:firstLineChars="200"/>
              <w:rPr>
                <w:rFonts w:cs="宋体" w:asciiTheme="minorEastAsia" w:hAnsiTheme="minorEastAsia" w:eastAsiaTheme="minorEastAsia"/>
                <w:bCs/>
                <w:color w:val="FF0000"/>
                <w:szCs w:val="21"/>
              </w:rPr>
            </w:pPr>
            <w:r>
              <w:t>中成药的基本知识；按治法归类，介绍常用中成药的出处、制法、性味、功用、主治、配伍、临床应用、 药理研究、用法与用量等内容</w:t>
            </w:r>
            <w:r>
              <w:rPr>
                <w:rFonts w:hint="eastAsia"/>
              </w:rPr>
              <w:t>。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Cs w:val="21"/>
              </w:rPr>
              <w:t>3</w:t>
            </w:r>
            <w:r>
              <w:rPr>
                <w:rFonts w:cs="宋体" w:asciiTheme="minorEastAsia" w:hAnsiTheme="minorEastAsia" w:eastAsiaTheme="minorEastAsia"/>
                <w:bCs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Cs w:val="21"/>
              </w:rPr>
              <w:t>2</w:t>
            </w:r>
          </w:p>
        </w:tc>
        <w:tc>
          <w:tcPr>
            <w:tcW w:w="2155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color w:val="231F20"/>
                <w:szCs w:val="21"/>
              </w:rPr>
              <w:t>中药制剂辅料与包装材料</w:t>
            </w:r>
          </w:p>
        </w:tc>
        <w:tc>
          <w:tcPr>
            <w:tcW w:w="6237" w:type="dxa"/>
          </w:tcPr>
          <w:p>
            <w:pPr>
              <w:spacing w:line="320" w:lineRule="exact"/>
              <w:ind w:firstLine="408" w:firstLineChars="200"/>
            </w:pPr>
            <w:r>
              <w:rPr>
                <w:lang w:bidi="zh-CN"/>
              </w:rPr>
              <w:t>了解我国及国外用药辅料的发展趋势；熟练掌握各种药用辅料在制剂中的选用方法、选用原则，掌握各种药品包装材料的选用方式及原则，掌握用在药剂学药辅料对药品的质量稳定性、安全性、有效性的影响；熟悉在药物制剂中包装材料对药品质量的影响；熟悉我国及其他国家对药用辅料的相关法律法规。了解我国常用的包装材料及选用原则，树立药品质量第一的观念和药品安全意识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Cs w:val="21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Cs w:val="21"/>
              </w:rPr>
              <w:t>3</w:t>
            </w:r>
          </w:p>
        </w:tc>
        <w:tc>
          <w:tcPr>
            <w:tcW w:w="2155" w:type="dxa"/>
            <w:vAlign w:val="center"/>
          </w:tcPr>
          <w:p>
            <w:pPr>
              <w:spacing w:line="320" w:lineRule="exact"/>
              <w:jc w:val="center"/>
            </w:pPr>
            <w:r>
              <w:t>中药鉴定技术</w:t>
            </w:r>
          </w:p>
        </w:tc>
        <w:tc>
          <w:tcPr>
            <w:tcW w:w="6237" w:type="dxa"/>
          </w:tcPr>
          <w:p>
            <w:pPr>
              <w:spacing w:line="320" w:lineRule="exact"/>
              <w:ind w:firstLine="408" w:firstLineChars="200"/>
            </w:pPr>
            <w:r>
              <w:t>了解中药的分类与拉丁名，中药的采收、加工、贮 藏的原则与基本方法；掌握中药鉴定的目的、依据、方 法；根、茎、叶等器官的结构特点；掌握各中药的来源、 主要性状、质量、重点中药的显微、理化鉴定等；熟悉 中药鉴定的一般程序；重点中药的化学成分、主产地； 中药鉴定的新方法；各中药的采制、功效等。能运用性 状、显微、理化等鉴别方法，准确鉴别常用中药，能 运用所学知识鉴定未学习过的药材</w:t>
            </w:r>
            <w:r>
              <w:rPr>
                <w:rFonts w:hint="eastAsia"/>
              </w:rPr>
              <w:t>。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Cs w:val="21"/>
              </w:rPr>
              <w:t>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Cs w:val="21"/>
              </w:rPr>
              <w:t>4</w:t>
            </w:r>
          </w:p>
        </w:tc>
        <w:tc>
          <w:tcPr>
            <w:tcW w:w="2155" w:type="dxa"/>
            <w:vAlign w:val="center"/>
          </w:tcPr>
          <w:p>
            <w:pPr>
              <w:spacing w:line="320" w:lineRule="exact"/>
              <w:jc w:val="center"/>
            </w:pPr>
            <w:r>
              <w:t>中药制剂技术</w:t>
            </w:r>
          </w:p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6237" w:type="dxa"/>
          </w:tcPr>
          <w:p>
            <w:pPr>
              <w:spacing w:line="320" w:lineRule="exact"/>
              <w:ind w:firstLine="408" w:firstLineChars="200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/>
              </w:rPr>
              <w:t>以项目驱动教学实施。</w:t>
            </w:r>
            <w:r>
              <w:t>掌握常用中药剂型的特点、制备工艺、质量控制方法，熟练掌握粉碎、过筛、浸提、精制、浓缩、干燥、混合、制粒等单元操作的基本技能，熟练掌握中药各类常用剂型的生产技术；熟悉中药制剂常用辅料的特点及应用，熟悉中药制药设备的结构和使用</w:t>
            </w:r>
            <w:r>
              <w:rPr>
                <w:rFonts w:hint="eastAsia"/>
              </w:rPr>
              <w:t>，</w:t>
            </w:r>
            <w:r>
              <w:t>能查阅药典等工具书，解决实际工作中常见的简单问题；能使用常用中药制剂生产设备、并进行日常维护</w:t>
            </w:r>
            <w:r>
              <w:rPr>
                <w:rFonts w:hint="eastAsia"/>
              </w:rPr>
              <w:t>，能够对常用药品进行包装和存储。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FF0000"/>
                <w:szCs w:val="21"/>
              </w:rPr>
              <w:t>1</w:t>
            </w:r>
            <w:r>
              <w:rPr>
                <w:rFonts w:cs="宋体" w:asciiTheme="minorEastAsia" w:hAnsiTheme="minorEastAsia" w:eastAsiaTheme="minorEastAsia"/>
                <w:bCs/>
                <w:color w:val="FF0000"/>
                <w:szCs w:val="21"/>
              </w:rP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Cs w:val="21"/>
              </w:rPr>
              <w:t>5</w:t>
            </w:r>
          </w:p>
        </w:tc>
        <w:tc>
          <w:tcPr>
            <w:tcW w:w="2155" w:type="dxa"/>
            <w:vAlign w:val="center"/>
          </w:tcPr>
          <w:p>
            <w:pPr>
              <w:spacing w:line="320" w:lineRule="exact"/>
              <w:jc w:val="center"/>
              <w:rPr>
                <w:color w:val="FF0000"/>
              </w:rPr>
            </w:pPr>
            <w:r>
              <w:t>中药制剂分析基础</w:t>
            </w:r>
          </w:p>
        </w:tc>
        <w:tc>
          <w:tcPr>
            <w:tcW w:w="6237" w:type="dxa"/>
          </w:tcPr>
          <w:p>
            <w:pPr>
              <w:spacing w:line="320" w:lineRule="exact"/>
              <w:ind w:firstLine="408" w:firstLineChars="200"/>
              <w:rPr>
                <w:color w:val="FF0000"/>
              </w:rPr>
            </w:pPr>
            <w:r>
              <w:t>了解中药制剂的卫生检查与含量测定，了解可见－ 紫外光谱三波长、导数、差示分光光度法、原子吸收 分光光度法及其应用；熟练掌握丸剂、片剂、颗粒剂、 胶囊剂、口服液剂等常用中药剂型的常规检验和卫生学检查技术，掌握气相色谱法、高效液相色谱法、薄层扫描法测定中药成分含量、鉴别中药成分方法， 掌握中药制剂原料、辅料、包装材料等物品的常规质 量检验技术；熟悉高效液相色谱议、薄层扫描仪、气相 色谱议的结构、组成；熟悉中药制剂的理化定性鉴别； 能正确使用并维护中药制剂分析检验常用的设备和工具，树立“依法检验”“质量第一”的观念</w:t>
            </w:r>
            <w:r>
              <w:rPr>
                <w:rFonts w:hint="eastAsia"/>
              </w:rPr>
              <w:t>。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Cs w:val="21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Cs w:val="21"/>
              </w:rPr>
              <w:t>6</w:t>
            </w:r>
          </w:p>
        </w:tc>
        <w:tc>
          <w:tcPr>
            <w:tcW w:w="2155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t>安全与生产操作</w:t>
            </w:r>
          </w:p>
        </w:tc>
        <w:tc>
          <w:tcPr>
            <w:tcW w:w="6237" w:type="dxa"/>
          </w:tcPr>
          <w:p>
            <w:pPr>
              <w:spacing w:line="320" w:lineRule="exact"/>
              <w:ind w:firstLine="408" w:firstLineChars="200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t>了解中药制剂生产过程中的安全隐患内容，掌握中药制剂生产过程中的常用安全防护措施，能进行常规 安全与生产操作</w:t>
            </w:r>
            <w:r>
              <w:rPr>
                <w:rFonts w:hint="eastAsia"/>
              </w:rPr>
              <w:t>。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Cs w:val="21"/>
              </w:rPr>
              <w:t>1</w:t>
            </w:r>
            <w:r>
              <w:rPr>
                <w:rFonts w:cs="宋体" w:asciiTheme="minorEastAsia" w:hAnsiTheme="minorEastAsia" w:eastAsiaTheme="minorEastAsia"/>
                <w:bCs/>
                <w:szCs w:val="21"/>
              </w:rPr>
              <w:t>8</w:t>
            </w:r>
          </w:p>
        </w:tc>
      </w:tr>
    </w:tbl>
    <w:p>
      <w:pPr>
        <w:rPr>
          <w:rFonts w:cs="宋体" w:asciiTheme="minorEastAsia" w:hAnsiTheme="minorEastAsia" w:eastAsiaTheme="minorEastAsia"/>
          <w:b/>
          <w:bCs/>
          <w:sz w:val="22"/>
          <w:szCs w:val="22"/>
        </w:rPr>
      </w:pPr>
    </w:p>
    <w:p>
      <w:pPr>
        <w:pStyle w:val="4"/>
        <w:numPr>
          <w:ilvl w:val="0"/>
          <w:numId w:val="5"/>
        </w:numPr>
        <w:spacing w:line="440" w:lineRule="exact"/>
        <w:rPr>
          <w:rFonts w:cs="黑体" w:asciiTheme="minorEastAsia" w:hAnsiTheme="minorEastAsia" w:eastAsiaTheme="minorEastAsia"/>
          <w:sz w:val="24"/>
          <w:szCs w:val="16"/>
        </w:rPr>
      </w:pPr>
      <w:bookmarkStart w:id="12" w:name="_Toc99454615"/>
      <w:r>
        <w:rPr>
          <w:rFonts w:hint="eastAsia" w:cs="黑体" w:asciiTheme="minorEastAsia" w:hAnsiTheme="minorEastAsia" w:eastAsiaTheme="minorEastAsia"/>
          <w:sz w:val="24"/>
          <w:szCs w:val="16"/>
        </w:rPr>
        <w:t>选修课</w:t>
      </w:r>
      <w:bookmarkEnd w:id="12"/>
    </w:p>
    <w:p>
      <w:pPr>
        <w:pStyle w:val="5"/>
        <w:numPr>
          <w:ilvl w:val="0"/>
          <w:numId w:val="7"/>
        </w:numPr>
        <w:spacing w:line="440" w:lineRule="exact"/>
        <w:ind w:hanging="25"/>
        <w:rPr>
          <w:rFonts w:cs="仿宋" w:asciiTheme="minorEastAsia" w:hAnsiTheme="minorEastAsia" w:eastAsiaTheme="minorEastAsia"/>
          <w:sz w:val="24"/>
          <w:szCs w:val="18"/>
        </w:rPr>
      </w:pPr>
      <w:r>
        <w:rPr>
          <w:rFonts w:hint="eastAsia" w:cs="仿宋" w:asciiTheme="minorEastAsia" w:hAnsiTheme="minorEastAsia" w:eastAsiaTheme="minorEastAsia"/>
          <w:sz w:val="24"/>
          <w:szCs w:val="18"/>
        </w:rPr>
        <w:t>公共基础选修课：</w:t>
      </w:r>
    </w:p>
    <w:p>
      <w:pPr>
        <w:pStyle w:val="30"/>
        <w:spacing w:line="440" w:lineRule="exact"/>
        <w:rPr>
          <w:rFonts w:cs="楷体" w:asciiTheme="minorEastAsia" w:hAnsiTheme="minorEastAsia" w:eastAsiaTheme="minorEastAsia"/>
          <w:color w:val="auto"/>
        </w:rPr>
      </w:pPr>
      <w:r>
        <w:rPr>
          <w:rFonts w:hint="eastAsia" w:cs="楷体" w:asciiTheme="minorEastAsia" w:hAnsiTheme="minorEastAsia" w:eastAsiaTheme="minorEastAsia"/>
          <w:color w:val="auto"/>
        </w:rPr>
        <w:t>（1）心理学基础</w:t>
      </w:r>
    </w:p>
    <w:p>
      <w:pPr>
        <w:pStyle w:val="30"/>
        <w:spacing w:line="440" w:lineRule="exact"/>
        <w:rPr>
          <w:rFonts w:cs="楷体" w:asciiTheme="minorEastAsia" w:hAnsiTheme="minorEastAsia" w:eastAsiaTheme="minorEastAsia"/>
          <w:color w:val="auto"/>
        </w:rPr>
      </w:pPr>
      <w:r>
        <w:rPr>
          <w:rFonts w:hint="eastAsia" w:cs="楷体" w:asciiTheme="minorEastAsia" w:hAnsiTheme="minorEastAsia" w:eastAsiaTheme="minorEastAsia"/>
          <w:color w:val="auto"/>
        </w:rPr>
        <w:t>（</w:t>
      </w:r>
      <w:r>
        <w:rPr>
          <w:rFonts w:cs="楷体" w:asciiTheme="minorEastAsia" w:hAnsiTheme="minorEastAsia" w:eastAsiaTheme="minorEastAsia"/>
          <w:color w:val="auto"/>
        </w:rPr>
        <w:t>2</w:t>
      </w:r>
      <w:r>
        <w:rPr>
          <w:rFonts w:hint="eastAsia" w:cs="楷体" w:asciiTheme="minorEastAsia" w:hAnsiTheme="minorEastAsia" w:eastAsiaTheme="minorEastAsia"/>
          <w:color w:val="auto"/>
        </w:rPr>
        <w:t>）中国优秀传统文化</w:t>
      </w:r>
    </w:p>
    <w:p>
      <w:pPr>
        <w:pStyle w:val="30"/>
        <w:spacing w:line="440" w:lineRule="exact"/>
        <w:rPr>
          <w:rFonts w:cs="楷体" w:asciiTheme="minorEastAsia" w:hAnsiTheme="minorEastAsia" w:eastAsiaTheme="minorEastAsia"/>
          <w:color w:val="auto"/>
        </w:rPr>
      </w:pPr>
      <w:r>
        <w:rPr>
          <w:rFonts w:hint="eastAsia" w:cs="楷体" w:asciiTheme="minorEastAsia" w:hAnsiTheme="minorEastAsia" w:eastAsiaTheme="minorEastAsia"/>
          <w:color w:val="auto"/>
        </w:rPr>
        <w:t>（3）创新创业</w:t>
      </w:r>
    </w:p>
    <w:p>
      <w:pPr>
        <w:pStyle w:val="5"/>
        <w:numPr>
          <w:ilvl w:val="0"/>
          <w:numId w:val="7"/>
        </w:numPr>
        <w:spacing w:line="440" w:lineRule="exact"/>
        <w:ind w:hanging="25"/>
        <w:rPr>
          <w:rFonts w:cs="仿宋" w:asciiTheme="minorEastAsia" w:hAnsiTheme="minorEastAsia" w:eastAsiaTheme="minorEastAsia"/>
          <w:sz w:val="24"/>
          <w:szCs w:val="18"/>
        </w:rPr>
      </w:pPr>
      <w:r>
        <w:rPr>
          <w:rFonts w:hint="eastAsia" w:cs="仿宋" w:asciiTheme="minorEastAsia" w:hAnsiTheme="minorEastAsia" w:eastAsiaTheme="minorEastAsia"/>
          <w:sz w:val="24"/>
          <w:szCs w:val="18"/>
        </w:rPr>
        <w:t>专业选修课：</w:t>
      </w:r>
    </w:p>
    <w:p>
      <w:pPr>
        <w:pStyle w:val="30"/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（1）生物化学</w:t>
      </w:r>
    </w:p>
    <w:p>
      <w:pPr>
        <w:pStyle w:val="30"/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（2）环境保护与节能排放</w:t>
      </w:r>
    </w:p>
    <w:p>
      <w:pPr>
        <w:pStyle w:val="30"/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（3）药品市场营销学</w:t>
      </w:r>
    </w:p>
    <w:p>
      <w:pPr>
        <w:pStyle w:val="30"/>
        <w:spacing w:line="440" w:lineRule="exact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（4）人际沟通</w:t>
      </w:r>
    </w:p>
    <w:p>
      <w:pPr>
        <w:pStyle w:val="30"/>
        <w:spacing w:line="440" w:lineRule="exact"/>
        <w:rPr>
          <w:rFonts w:asciiTheme="minorEastAsia" w:hAnsiTheme="minorEastAsia" w:eastAsiaTheme="minorEastAsia"/>
          <w:color w:val="auto"/>
          <w:lang w:bidi="zh-CN"/>
        </w:rPr>
      </w:pPr>
      <w:r>
        <w:rPr>
          <w:rFonts w:hint="eastAsia" w:asciiTheme="minorEastAsia" w:hAnsiTheme="minorEastAsia" w:eastAsiaTheme="minorEastAsia"/>
          <w:color w:val="auto"/>
        </w:rPr>
        <w:t>（5）</w:t>
      </w:r>
      <w:r>
        <w:rPr>
          <w:rFonts w:asciiTheme="minorEastAsia" w:hAnsiTheme="minorEastAsia" w:eastAsiaTheme="minorEastAsia"/>
          <w:color w:val="auto"/>
          <w:lang w:bidi="zh-CN"/>
        </w:rPr>
        <w:t>医药商品学</w:t>
      </w:r>
    </w:p>
    <w:p>
      <w:pPr>
        <w:pStyle w:val="30"/>
        <w:spacing w:line="440" w:lineRule="exact"/>
        <w:rPr>
          <w:rFonts w:asciiTheme="minorEastAsia" w:hAnsiTheme="minorEastAsia" w:eastAsiaTheme="minorEastAsia"/>
          <w:color w:val="auto"/>
          <w:lang w:bidi="zh-CN"/>
        </w:rPr>
      </w:pPr>
      <w:r>
        <w:rPr>
          <w:rFonts w:hint="eastAsia" w:asciiTheme="minorEastAsia" w:hAnsiTheme="minorEastAsia" w:eastAsiaTheme="minorEastAsia"/>
          <w:color w:val="auto"/>
        </w:rPr>
        <w:t>（6）</w:t>
      </w:r>
      <w:r>
        <w:rPr>
          <w:rFonts w:asciiTheme="minorEastAsia" w:hAnsiTheme="minorEastAsia" w:eastAsiaTheme="minorEastAsia"/>
          <w:color w:val="auto"/>
          <w:lang w:bidi="zh-CN"/>
        </w:rPr>
        <w:t>中药炮制技术</w:t>
      </w:r>
    </w:p>
    <w:p>
      <w:pPr>
        <w:pStyle w:val="30"/>
        <w:spacing w:line="440" w:lineRule="exact"/>
        <w:rPr>
          <w:rFonts w:asciiTheme="minorEastAsia" w:hAnsiTheme="minorEastAsia" w:eastAsiaTheme="minorEastAsia"/>
          <w:color w:val="auto"/>
          <w:szCs w:val="28"/>
        </w:rPr>
      </w:pPr>
    </w:p>
    <w:p>
      <w:pPr>
        <w:pStyle w:val="4"/>
        <w:numPr>
          <w:ilvl w:val="0"/>
          <w:numId w:val="5"/>
        </w:numPr>
        <w:spacing w:line="440" w:lineRule="exact"/>
        <w:rPr>
          <w:rFonts w:cs="黑体" w:asciiTheme="minorEastAsia" w:hAnsiTheme="minorEastAsia" w:eastAsiaTheme="minorEastAsia"/>
          <w:sz w:val="24"/>
          <w:szCs w:val="16"/>
        </w:rPr>
      </w:pPr>
      <w:bookmarkStart w:id="13" w:name="_Toc99454616"/>
      <w:r>
        <w:rPr>
          <w:rFonts w:hint="eastAsia" w:cs="黑体" w:asciiTheme="minorEastAsia" w:hAnsiTheme="minorEastAsia" w:eastAsiaTheme="minorEastAsia"/>
          <w:sz w:val="24"/>
          <w:szCs w:val="16"/>
        </w:rPr>
        <w:t>综合实践课</w:t>
      </w:r>
      <w:bookmarkEnd w:id="13"/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1743"/>
        <w:gridCol w:w="6237"/>
        <w:gridCol w:w="1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3" w:type="pct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序号</w:t>
            </w:r>
          </w:p>
        </w:tc>
        <w:tc>
          <w:tcPr>
            <w:tcW w:w="880" w:type="pct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课程名称</w:t>
            </w:r>
          </w:p>
        </w:tc>
        <w:tc>
          <w:tcPr>
            <w:tcW w:w="3148" w:type="pct"/>
            <w:shd w:val="clear" w:color="auto" w:fill="D9E2F3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课程目标、主要教学内容和要求</w:t>
            </w:r>
          </w:p>
        </w:tc>
        <w:tc>
          <w:tcPr>
            <w:tcW w:w="609" w:type="pct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63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cs="楷体" w:asciiTheme="minorEastAsia" w:hAnsiTheme="minorEastAsia" w:eastAsiaTheme="minorEastAsia"/>
                <w:szCs w:val="21"/>
              </w:rPr>
              <w:t>1</w:t>
            </w:r>
          </w:p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</w:p>
        </w:tc>
        <w:tc>
          <w:tcPr>
            <w:tcW w:w="880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t>中药鉴定技能训练</w:t>
            </w:r>
          </w:p>
        </w:tc>
        <w:tc>
          <w:tcPr>
            <w:tcW w:w="3148" w:type="pct"/>
          </w:tcPr>
          <w:p>
            <w:pPr>
              <w:spacing w:line="320" w:lineRule="exact"/>
              <w:ind w:firstLine="408" w:firstLineChars="200"/>
              <w:rPr>
                <w:rFonts w:cs="楷体" w:asciiTheme="minorEastAsia" w:hAnsiTheme="minorEastAsia" w:eastAsiaTheme="minorEastAsia"/>
                <w:szCs w:val="21"/>
              </w:rPr>
            </w:pPr>
            <w:r>
              <w:t>中药基源鉴定技能、中药性状鉴定技能、中药显微鉴定技能、中药理化鉴定技能、未知中药的鉴定技能。</w:t>
            </w:r>
          </w:p>
        </w:tc>
        <w:tc>
          <w:tcPr>
            <w:tcW w:w="609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27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63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880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t>中药前处理技能综合训练</w:t>
            </w:r>
          </w:p>
        </w:tc>
        <w:tc>
          <w:tcPr>
            <w:tcW w:w="3148" w:type="pct"/>
          </w:tcPr>
          <w:p>
            <w:pPr>
              <w:spacing w:line="320" w:lineRule="exact"/>
              <w:ind w:firstLine="408" w:firstLineChars="200"/>
              <w:rPr>
                <w:rFonts w:cs="楷体" w:asciiTheme="minorEastAsia" w:hAnsiTheme="minorEastAsia" w:eastAsiaTheme="minorEastAsia"/>
                <w:szCs w:val="21"/>
              </w:rPr>
            </w:pPr>
            <w:r>
              <w:t>中药前处理生产质量管理、净制、切制、炒制、炙制、煅制、蒸制、煮制， 粉碎、过筛、提取、分离、浓缩干燥，中成药前处理。</w:t>
            </w:r>
          </w:p>
        </w:tc>
        <w:tc>
          <w:tcPr>
            <w:tcW w:w="609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63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880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t>中药制剂生产技能综合训练</w:t>
            </w:r>
          </w:p>
        </w:tc>
        <w:tc>
          <w:tcPr>
            <w:tcW w:w="3148" w:type="pct"/>
          </w:tcPr>
          <w:p>
            <w:pPr>
              <w:spacing w:line="320" w:lineRule="exact"/>
              <w:ind w:firstLine="408" w:firstLineChars="200"/>
              <w:rPr>
                <w:rFonts w:cs="楷体" w:asciiTheme="minorEastAsia" w:hAnsiTheme="minorEastAsia" w:eastAsiaTheme="minorEastAsia"/>
                <w:szCs w:val="21"/>
              </w:rPr>
            </w:pPr>
            <w:r>
              <w:t>人员及物料进出生产车间、制药用水制备、空气净化技术、清场技术，蜜丸、浓缩丸、水丸、滴丸、糖衣片、薄膜片、硬胶囊、颗粒剂、口服液、水针、粉针、栓剂生产制备。</w:t>
            </w:r>
          </w:p>
        </w:tc>
        <w:tc>
          <w:tcPr>
            <w:tcW w:w="609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63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880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t>中药制剂检验技能</w:t>
            </w:r>
          </w:p>
        </w:tc>
        <w:tc>
          <w:tcPr>
            <w:tcW w:w="3148" w:type="pct"/>
          </w:tcPr>
          <w:p>
            <w:pPr>
              <w:spacing w:line="320" w:lineRule="exact"/>
              <w:ind w:firstLine="408" w:firstLineChars="200"/>
              <w:rPr>
                <w:rFonts w:cs="楷体" w:asciiTheme="minorEastAsia" w:hAnsiTheme="minorEastAsia" w:eastAsiaTheme="minorEastAsia"/>
                <w:szCs w:val="21"/>
              </w:rPr>
            </w:pPr>
            <w:r>
              <w:t>中药制剂的鉴别、卫生学检查、定量分析，中药丸剂、片剂、颗粒剂、胶囊</w:t>
            </w:r>
            <w:r>
              <w:rPr>
                <w:rFonts w:hint="eastAsia"/>
              </w:rPr>
              <w:t>等</w:t>
            </w:r>
            <w:r>
              <w:t>的综合检验。</w:t>
            </w:r>
          </w:p>
        </w:tc>
        <w:tc>
          <w:tcPr>
            <w:tcW w:w="609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363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880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顶岗实习</w:t>
            </w:r>
          </w:p>
        </w:tc>
        <w:tc>
          <w:tcPr>
            <w:tcW w:w="3148" w:type="pct"/>
          </w:tcPr>
          <w:p>
            <w:pPr>
              <w:pStyle w:val="24"/>
              <w:spacing w:line="320" w:lineRule="exact"/>
              <w:ind w:firstLine="407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顶岗实习是本专业的实践性教学环节。毕业实习18周，中药制药厂12周（实习中药制剂），中药饮片厂或药品库房2周（实习中药加工或仓储管理），药店4周（实习中药商品销售）。</w:t>
            </w:r>
          </w:p>
        </w:tc>
        <w:tc>
          <w:tcPr>
            <w:tcW w:w="609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540</w:t>
            </w:r>
          </w:p>
        </w:tc>
      </w:tr>
    </w:tbl>
    <w:p>
      <w:pPr>
        <w:spacing w:line="440" w:lineRule="exact"/>
        <w:ind w:firstLine="484" w:firstLineChars="207"/>
        <w:rPr>
          <w:rFonts w:cs="黑体" w:asciiTheme="minorEastAsia" w:hAnsiTheme="minorEastAsia" w:eastAsiaTheme="minorEastAsia"/>
          <w:sz w:val="24"/>
          <w:szCs w:val="24"/>
        </w:rPr>
        <w:sectPr>
          <w:headerReference r:id="rId5" w:type="default"/>
          <w:footerReference r:id="rId6" w:type="default"/>
          <w:pgSz w:w="11850" w:h="16783"/>
          <w:pgMar w:top="1440" w:right="1080" w:bottom="1440" w:left="1080" w:header="851" w:footer="850" w:gutter="0"/>
          <w:pgNumType w:fmt="numberInDash" w:start="1"/>
          <w:cols w:space="720" w:num="1"/>
          <w:docGrid w:type="linesAndChars" w:linePitch="297" w:charSpace="-1354"/>
        </w:sectPr>
      </w:pPr>
    </w:p>
    <w:p>
      <w:pPr>
        <w:pStyle w:val="3"/>
        <w:spacing w:line="440" w:lineRule="exact"/>
        <w:rPr>
          <w:rFonts w:ascii="黑体" w:hAnsi="黑体"/>
          <w:sz w:val="28"/>
          <w:szCs w:val="18"/>
        </w:rPr>
      </w:pPr>
      <w:bookmarkStart w:id="14" w:name="_Toc99454617"/>
      <w:r>
        <w:rPr>
          <w:rFonts w:hint="eastAsia" w:ascii="黑体" w:hAnsi="黑体"/>
          <w:sz w:val="28"/>
          <w:szCs w:val="18"/>
        </w:rPr>
        <w:t>七、教学进程总体安排</w:t>
      </w:r>
      <w:bookmarkEnd w:id="14"/>
    </w:p>
    <w:tbl>
      <w:tblPr>
        <w:tblStyle w:val="1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80"/>
        <w:gridCol w:w="628"/>
        <w:gridCol w:w="1559"/>
        <w:gridCol w:w="1286"/>
        <w:gridCol w:w="568"/>
        <w:gridCol w:w="708"/>
        <w:gridCol w:w="712"/>
        <w:gridCol w:w="628"/>
        <w:gridCol w:w="401"/>
        <w:gridCol w:w="475"/>
        <w:gridCol w:w="488"/>
        <w:gridCol w:w="479"/>
        <w:gridCol w:w="475"/>
        <w:gridCol w:w="486"/>
        <w:gridCol w:w="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61" w:type="pct"/>
            <w:vMerge w:val="restart"/>
            <w:shd w:val="clear" w:color="auto" w:fill="D9E2F3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pacing w:val="2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20"/>
                <w:szCs w:val="21"/>
              </w:rPr>
              <w:t>课程性质</w:t>
            </w:r>
          </w:p>
        </w:tc>
        <w:tc>
          <w:tcPr>
            <w:tcW w:w="355" w:type="pct"/>
            <w:gridSpan w:val="2"/>
            <w:vMerge w:val="restart"/>
            <w:shd w:val="clear" w:color="auto" w:fill="D9E2F3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pacing w:val="2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课程类别</w:t>
            </w:r>
          </w:p>
        </w:tc>
        <w:tc>
          <w:tcPr>
            <w:tcW w:w="782" w:type="pct"/>
            <w:vMerge w:val="restart"/>
            <w:shd w:val="clear" w:color="auto" w:fill="D9E2F3"/>
            <w:textDirection w:val="tbRlV"/>
            <w:vAlign w:val="center"/>
          </w:tcPr>
          <w:p>
            <w:pPr>
              <w:widowControl/>
              <w:spacing w:line="320" w:lineRule="exact"/>
              <w:ind w:left="113" w:right="113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课程编码</w:t>
            </w:r>
          </w:p>
        </w:tc>
        <w:tc>
          <w:tcPr>
            <w:tcW w:w="645" w:type="pct"/>
            <w:vMerge w:val="restart"/>
            <w:shd w:val="clear" w:color="auto" w:fill="D9E2F3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课程名称</w:t>
            </w:r>
          </w:p>
        </w:tc>
        <w:tc>
          <w:tcPr>
            <w:tcW w:w="285" w:type="pct"/>
            <w:vMerge w:val="restart"/>
            <w:shd w:val="clear" w:color="auto" w:fill="D9E2F3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  分</w:t>
            </w:r>
          </w:p>
        </w:tc>
        <w:tc>
          <w:tcPr>
            <w:tcW w:w="355" w:type="pct"/>
            <w:vMerge w:val="restart"/>
            <w:shd w:val="clear" w:color="auto" w:fill="D9E2F3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理论</w:t>
            </w:r>
            <w:r>
              <w:rPr>
                <w:rFonts w:cs="宋体" w:asciiTheme="minorEastAsia" w:hAnsiTheme="minorEastAsia" w:eastAsiaTheme="minorEastAsia"/>
                <w:szCs w:val="21"/>
              </w:rPr>
              <w:t>课时</w:t>
            </w:r>
          </w:p>
        </w:tc>
        <w:tc>
          <w:tcPr>
            <w:tcW w:w="357" w:type="pct"/>
            <w:vMerge w:val="restart"/>
            <w:shd w:val="clear" w:color="auto" w:fill="D9E2F3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实践</w:t>
            </w:r>
            <w:r>
              <w:rPr>
                <w:rFonts w:cs="宋体" w:asciiTheme="minorEastAsia" w:hAnsiTheme="minorEastAsia" w:eastAsiaTheme="minorEastAsia"/>
                <w:szCs w:val="21"/>
              </w:rPr>
              <w:t>课时</w:t>
            </w:r>
          </w:p>
        </w:tc>
        <w:tc>
          <w:tcPr>
            <w:tcW w:w="315" w:type="pct"/>
            <w:vMerge w:val="restart"/>
            <w:shd w:val="clear" w:color="auto" w:fill="D9E2F3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总学时</w:t>
            </w:r>
          </w:p>
        </w:tc>
        <w:tc>
          <w:tcPr>
            <w:tcW w:w="1406" w:type="pct"/>
            <w:gridSpan w:val="6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开课学期</w:t>
            </w:r>
          </w:p>
        </w:tc>
        <w:tc>
          <w:tcPr>
            <w:tcW w:w="238" w:type="pct"/>
            <w:vMerge w:val="restart"/>
            <w:shd w:val="clear" w:color="auto" w:fill="D9E2F3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考核</w:t>
            </w:r>
            <w:r>
              <w:rPr>
                <w:rFonts w:cs="宋体" w:asciiTheme="minorEastAsia" w:hAnsiTheme="minorEastAsia" w:eastAsiaTheme="minorEastAsia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1" w:hRule="atLeast"/>
          <w:jc w:val="center"/>
        </w:trPr>
        <w:tc>
          <w:tcPr>
            <w:tcW w:w="261" w:type="pct"/>
            <w:vMerge w:val="continue"/>
            <w:shd w:val="clear" w:color="auto" w:fill="D9E2F3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pacing w:val="20"/>
                <w:szCs w:val="21"/>
              </w:rPr>
            </w:pPr>
          </w:p>
        </w:tc>
        <w:tc>
          <w:tcPr>
            <w:tcW w:w="355" w:type="pct"/>
            <w:gridSpan w:val="2"/>
            <w:vMerge w:val="continue"/>
            <w:shd w:val="clear" w:color="auto" w:fill="D9E2F3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pacing w:val="20"/>
                <w:szCs w:val="21"/>
              </w:rPr>
            </w:pPr>
          </w:p>
        </w:tc>
        <w:tc>
          <w:tcPr>
            <w:tcW w:w="782" w:type="pct"/>
            <w:vMerge w:val="continue"/>
            <w:shd w:val="clear" w:color="auto" w:fill="D9E2F3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</w:p>
        </w:tc>
        <w:tc>
          <w:tcPr>
            <w:tcW w:w="645" w:type="pct"/>
            <w:vMerge w:val="continue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</w:p>
        </w:tc>
        <w:tc>
          <w:tcPr>
            <w:tcW w:w="285" w:type="pct"/>
            <w:vMerge w:val="continue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vMerge w:val="continue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7" w:type="pct"/>
            <w:vMerge w:val="continue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15" w:type="pct"/>
            <w:vMerge w:val="continue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01" w:type="pct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一</w:t>
            </w:r>
          </w:p>
        </w:tc>
        <w:tc>
          <w:tcPr>
            <w:tcW w:w="238" w:type="pct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二</w:t>
            </w:r>
          </w:p>
        </w:tc>
        <w:tc>
          <w:tcPr>
            <w:tcW w:w="245" w:type="pct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三</w:t>
            </w:r>
          </w:p>
        </w:tc>
        <w:tc>
          <w:tcPr>
            <w:tcW w:w="240" w:type="pct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四</w:t>
            </w:r>
          </w:p>
        </w:tc>
        <w:tc>
          <w:tcPr>
            <w:tcW w:w="238" w:type="pct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五</w:t>
            </w:r>
          </w:p>
        </w:tc>
        <w:tc>
          <w:tcPr>
            <w:tcW w:w="244" w:type="pct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六</w:t>
            </w:r>
          </w:p>
        </w:tc>
        <w:tc>
          <w:tcPr>
            <w:tcW w:w="238" w:type="pct"/>
            <w:vMerge w:val="continue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261" w:type="pct"/>
            <w:vMerge w:val="restart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pacing w:val="2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20"/>
                <w:szCs w:val="21"/>
              </w:rPr>
              <w:t>公共基础课程</w:t>
            </w:r>
          </w:p>
        </w:tc>
        <w:tc>
          <w:tcPr>
            <w:tcW w:w="355" w:type="pct"/>
            <w:gridSpan w:val="2"/>
            <w:vMerge w:val="restart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pacing w:val="2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20"/>
                <w:szCs w:val="21"/>
              </w:rPr>
              <w:t>思政课程</w:t>
            </w:r>
          </w:p>
        </w:tc>
        <w:tc>
          <w:tcPr>
            <w:tcW w:w="782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ZY000000101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bookmarkStart w:id="15" w:name="_Hlk79848825"/>
            <w:r>
              <w:rPr>
                <w:rFonts w:hint="eastAsia" w:cs="楷体" w:asciiTheme="minorEastAsia" w:hAnsiTheme="minorEastAsia" w:eastAsiaTheme="minorEastAsia"/>
                <w:szCs w:val="21"/>
              </w:rPr>
              <w:t>思想政治——</w:t>
            </w:r>
            <w:bookmarkEnd w:id="15"/>
            <w:r>
              <w:rPr>
                <w:rFonts w:hint="eastAsia" w:cs="楷体" w:asciiTheme="minorEastAsia" w:hAnsiTheme="minorEastAsia" w:eastAsiaTheme="minorEastAsia"/>
                <w:szCs w:val="21"/>
              </w:rPr>
              <w:t>职业生涯规划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</w:t>
            </w:r>
            <w:r>
              <w:rPr>
                <w:rFonts w:cs="宋体" w:asciiTheme="minorEastAsia" w:hAnsiTheme="minorEastAsia" w:eastAsiaTheme="minorEastAsia"/>
                <w:szCs w:val="21"/>
              </w:rPr>
              <w:t>6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261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ZY000000102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思想政治——经济政治与社会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</w:t>
            </w:r>
            <w:r>
              <w:rPr>
                <w:rFonts w:cs="宋体" w:asciiTheme="minorEastAsia" w:hAnsiTheme="minorEastAsia" w:eastAsiaTheme="minorEastAsia"/>
                <w:szCs w:val="21"/>
              </w:rPr>
              <w:t>6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261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ZY000000103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思想政治——哲学与人生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</w:t>
            </w:r>
            <w:r>
              <w:rPr>
                <w:rFonts w:cs="宋体" w:asciiTheme="minorEastAsia" w:hAnsiTheme="minorEastAsia" w:eastAsiaTheme="minorEastAsia"/>
                <w:szCs w:val="21"/>
              </w:rPr>
              <w:t>6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261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ZY000000104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思想政治——职业道德与法律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</w:t>
            </w:r>
            <w:r>
              <w:rPr>
                <w:rFonts w:cs="宋体" w:asciiTheme="minorEastAsia" w:hAnsiTheme="minorEastAsia" w:eastAsiaTheme="minorEastAsia"/>
                <w:szCs w:val="21"/>
              </w:rPr>
              <w:t>6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261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gridSpan w:val="2"/>
            <w:vMerge w:val="restart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pacing w:val="2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20"/>
                <w:szCs w:val="21"/>
              </w:rPr>
              <w:t>其他公共基础课程</w:t>
            </w: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ZY000000105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语 文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10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pacing w:val="-2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-20"/>
                <w:szCs w:val="21"/>
              </w:rPr>
              <w:t>180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180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  <w:jc w:val="center"/>
        </w:trPr>
        <w:tc>
          <w:tcPr>
            <w:tcW w:w="261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ZY000000106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数 学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10</w:t>
            </w:r>
          </w:p>
        </w:tc>
        <w:tc>
          <w:tcPr>
            <w:tcW w:w="355" w:type="pct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180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180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261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ZY000000107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英 语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10</w:t>
            </w:r>
          </w:p>
        </w:tc>
        <w:tc>
          <w:tcPr>
            <w:tcW w:w="355" w:type="pct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180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180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261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ZY00000010</w:t>
            </w:r>
            <w:r>
              <w:rPr>
                <w:rFonts w:asciiTheme="minorEastAsia" w:hAnsiTheme="minorEastAsia" w:eastAsiaTheme="minorEastAsia"/>
                <w:caps/>
                <w:szCs w:val="21"/>
              </w:rPr>
              <w:t>8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信息技术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8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108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144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261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ZY0000001</w:t>
            </w:r>
            <w:r>
              <w:rPr>
                <w:rFonts w:asciiTheme="minorEastAsia" w:hAnsiTheme="minorEastAsia" w:eastAsiaTheme="minorEastAsia"/>
                <w:caps/>
                <w:szCs w:val="21"/>
              </w:rPr>
              <w:t>09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体育</w:t>
            </w:r>
          </w:p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与健康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8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357" w:type="pct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108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144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261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ZY00000011</w:t>
            </w:r>
            <w:r>
              <w:rPr>
                <w:rFonts w:asciiTheme="minorEastAsia" w:hAnsiTheme="minorEastAsia" w:eastAsiaTheme="minorEastAsia"/>
                <w:caps/>
                <w:szCs w:val="21"/>
              </w:rPr>
              <w:t>0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历史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261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ZY00000011</w:t>
            </w:r>
            <w:r>
              <w:rPr>
                <w:rFonts w:asciiTheme="minorEastAsia" w:hAnsiTheme="minorEastAsia" w:eastAsiaTheme="minorEastAsia"/>
                <w:caps/>
                <w:szCs w:val="21"/>
              </w:rPr>
              <w:t>1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 w:eastAsiaTheme="minorEastAsia"/>
                <w:szCs w:val="21"/>
              </w:rPr>
              <w:t>公共艺术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" w:hRule="atLeast"/>
          <w:jc w:val="center"/>
        </w:trPr>
        <w:tc>
          <w:tcPr>
            <w:tcW w:w="261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gridSpan w:val="2"/>
            <w:vMerge w:val="restart"/>
            <w:textDirection w:val="tbRlV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0"/>
                <w:sz w:val="21"/>
                <w:szCs w:val="21"/>
              </w:rPr>
              <w:t>公共</w:t>
            </w:r>
            <w:r>
              <w:rPr>
                <w:rFonts w:asciiTheme="minorEastAsia" w:hAnsiTheme="minorEastAsia" w:eastAsiaTheme="minorEastAsia"/>
                <w:color w:val="auto"/>
                <w:spacing w:val="0"/>
                <w:sz w:val="21"/>
                <w:szCs w:val="21"/>
              </w:rPr>
              <w:t>选修</w:t>
            </w:r>
          </w:p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pacing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pacing w:val="0"/>
                <w:sz w:val="21"/>
                <w:szCs w:val="21"/>
              </w:rPr>
              <w:t>课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sz w:val="21"/>
                <w:szCs w:val="21"/>
              </w:rPr>
              <w:t>程</w:t>
            </w: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ZY00000021</w:t>
            </w:r>
            <w:r>
              <w:rPr>
                <w:rFonts w:asciiTheme="minorEastAsia" w:hAnsiTheme="minorEastAsia" w:eastAsiaTheme="minorEastAsia"/>
                <w:caps/>
                <w:szCs w:val="21"/>
              </w:rPr>
              <w:t>2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-20"/>
                <w:kern w:val="0"/>
                <w:szCs w:val="21"/>
              </w:rPr>
              <w:t>中国优秀传统文化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355" w:type="pct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18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15" w:type="pct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18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261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gridSpan w:val="2"/>
            <w:vMerge w:val="continue"/>
            <w:textDirection w:val="tbRlV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pacing w:val="0"/>
                <w:sz w:val="21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ZY000000213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心理学基础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355" w:type="pct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18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15" w:type="pct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18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  <w:jc w:val="center"/>
        </w:trPr>
        <w:tc>
          <w:tcPr>
            <w:tcW w:w="261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gridSpan w:val="2"/>
            <w:vMerge w:val="continue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pacing w:val="0"/>
                <w:sz w:val="21"/>
                <w:szCs w:val="21"/>
              </w:rPr>
            </w:pPr>
          </w:p>
        </w:tc>
        <w:tc>
          <w:tcPr>
            <w:tcW w:w="782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ZY000000214</w:t>
            </w:r>
          </w:p>
        </w:tc>
        <w:tc>
          <w:tcPr>
            <w:tcW w:w="64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创新创业</w:t>
            </w:r>
          </w:p>
        </w:tc>
        <w:tc>
          <w:tcPr>
            <w:tcW w:w="28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355" w:type="pct"/>
            <w:tcBorders>
              <w:bottom w:val="single" w:color="auto" w:sz="4" w:space="0"/>
            </w:tcBorders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18</w:t>
            </w:r>
          </w:p>
        </w:tc>
        <w:tc>
          <w:tcPr>
            <w:tcW w:w="357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15" w:type="pct"/>
            <w:tcBorders>
              <w:bottom w:val="single" w:color="auto" w:sz="4" w:space="0"/>
            </w:tcBorders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18</w:t>
            </w:r>
          </w:p>
        </w:tc>
        <w:tc>
          <w:tcPr>
            <w:tcW w:w="201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0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" w:hRule="atLeast"/>
          <w:jc w:val="center"/>
        </w:trPr>
        <w:tc>
          <w:tcPr>
            <w:tcW w:w="261" w:type="pct"/>
            <w:vMerge w:val="continue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782" w:type="pct"/>
            <w:gridSpan w:val="4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公共基础课程小计</w:t>
            </w:r>
          </w:p>
        </w:tc>
        <w:tc>
          <w:tcPr>
            <w:tcW w:w="285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61</w:t>
            </w:r>
          </w:p>
        </w:tc>
        <w:tc>
          <w:tcPr>
            <w:tcW w:w="355" w:type="pct"/>
            <w:shd w:val="clear" w:color="auto" w:fill="B8CCE4" w:themeFill="accent1" w:themeFillTint="66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882</w:t>
            </w:r>
          </w:p>
        </w:tc>
        <w:tc>
          <w:tcPr>
            <w:tcW w:w="357" w:type="pct"/>
            <w:shd w:val="clear" w:color="auto" w:fill="B8CCE4" w:themeFill="accent1" w:themeFillTint="66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216</w:t>
            </w:r>
          </w:p>
        </w:tc>
        <w:tc>
          <w:tcPr>
            <w:tcW w:w="315" w:type="pct"/>
            <w:shd w:val="clear" w:color="auto" w:fill="B8CCE4" w:themeFill="accent1" w:themeFillTint="66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pacing w:val="-24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-24"/>
                <w:sz w:val="21"/>
                <w:szCs w:val="21"/>
              </w:rPr>
              <w:t>1098</w:t>
            </w:r>
          </w:p>
        </w:tc>
        <w:tc>
          <w:tcPr>
            <w:tcW w:w="201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616" w:type="pct"/>
            <w:gridSpan w:val="3"/>
            <w:vMerge w:val="restart"/>
            <w:textDirection w:val="tbRlV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spacing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pacing w:val="20"/>
                <w:szCs w:val="21"/>
              </w:rPr>
              <w:t>专业核心课程</w:t>
            </w:r>
          </w:p>
        </w:tc>
        <w:tc>
          <w:tcPr>
            <w:tcW w:w="782" w:type="pc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ZY142000315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t>药用化学基础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8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7</w:t>
            </w:r>
            <w:r>
              <w:rPr>
                <w:rFonts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57" w:type="pct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7</w:t>
            </w: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2</w:t>
            </w:r>
          </w:p>
        </w:tc>
        <w:tc>
          <w:tcPr>
            <w:tcW w:w="315" w:type="pct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144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  <w:jc w:val="center"/>
        </w:trPr>
        <w:tc>
          <w:tcPr>
            <w:tcW w:w="616" w:type="pct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ZY142000316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楷体" w:asciiTheme="minorEastAsia" w:hAnsiTheme="minorEastAsia"/>
                <w:szCs w:val="24"/>
              </w:rPr>
              <w:t>人体解剖生理学基础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</w:t>
            </w:r>
            <w:r>
              <w:rPr>
                <w:rFonts w:cs="宋体" w:asciiTheme="minorEastAsia" w:hAnsiTheme="minorEastAsia" w:eastAsiaTheme="minorEastAsia"/>
                <w:szCs w:val="21"/>
              </w:rPr>
              <w:t>6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</w:t>
            </w:r>
            <w:r>
              <w:rPr>
                <w:rFonts w:cs="宋体" w:asciiTheme="minorEastAsia" w:hAnsiTheme="minorEastAsia" w:eastAsiaTheme="minorEastAsia"/>
                <w:szCs w:val="21"/>
              </w:rPr>
              <w:t>6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72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  <w:jc w:val="center"/>
        </w:trPr>
        <w:tc>
          <w:tcPr>
            <w:tcW w:w="616" w:type="pct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ZY142000317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t>中医基础理论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54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  <w:jc w:val="center"/>
        </w:trPr>
        <w:tc>
          <w:tcPr>
            <w:tcW w:w="616" w:type="pct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ZY142000318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/>
                <w:szCs w:val="24"/>
              </w:rPr>
            </w:pPr>
            <w:r>
              <w:t>药用植物学基础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616" w:type="pct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ZY1420003179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t>微生物学基础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</w:t>
            </w:r>
            <w:r>
              <w:rPr>
                <w:rFonts w:cs="宋体" w:asciiTheme="minorEastAsia" w:hAnsiTheme="minorEastAsia" w:eastAsiaTheme="minorEastAsia"/>
                <w:szCs w:val="21"/>
              </w:rPr>
              <w:t>8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</w:t>
            </w:r>
            <w:r>
              <w:rPr>
                <w:rFonts w:cs="宋体" w:asciiTheme="minorEastAsia" w:hAnsiTheme="minorEastAsia" w:eastAsiaTheme="minorEastAsia"/>
                <w:szCs w:val="21"/>
              </w:rPr>
              <w:t>8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  <w:jc w:val="center"/>
        </w:trPr>
        <w:tc>
          <w:tcPr>
            <w:tcW w:w="616" w:type="pct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ZY142000320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t>中药学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54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15" w:type="pct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72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  <w:jc w:val="center"/>
        </w:trPr>
        <w:tc>
          <w:tcPr>
            <w:tcW w:w="616" w:type="pct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ZY142000321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lang w:bidi="zh-CN"/>
              </w:rPr>
              <w:t>药品储存与养护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</w:t>
            </w:r>
            <w:r>
              <w:rPr>
                <w:rFonts w:cs="宋体" w:asciiTheme="minorEastAsia" w:hAnsiTheme="minorEastAsia" w:eastAsiaTheme="minorEastAsia"/>
                <w:szCs w:val="21"/>
              </w:rPr>
              <w:t>8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  <w:jc w:val="center"/>
        </w:trPr>
        <w:tc>
          <w:tcPr>
            <w:tcW w:w="616" w:type="pct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ZY142000322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t>中药化学实用技术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54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72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  <w:jc w:val="center"/>
        </w:trPr>
        <w:tc>
          <w:tcPr>
            <w:tcW w:w="616" w:type="pct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ZY142000323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t>方剂学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54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  <w:jc w:val="center"/>
        </w:trPr>
        <w:tc>
          <w:tcPr>
            <w:tcW w:w="616" w:type="pct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ZY142000324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t>中药药理学基础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54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  <w:jc w:val="center"/>
        </w:trPr>
        <w:tc>
          <w:tcPr>
            <w:tcW w:w="616" w:type="pct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ZY142000325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</w:pPr>
            <w:r>
              <w:t>药事法规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24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12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  <w:jc w:val="center"/>
        </w:trPr>
        <w:tc>
          <w:tcPr>
            <w:tcW w:w="616" w:type="pct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ZY142000326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</w:pPr>
            <w:r>
              <w:rPr>
                <w:szCs w:val="21"/>
              </w:rPr>
              <w:t>药品生产质量管理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16" w:type="pct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427" w:type="pct"/>
            <w:gridSpan w:val="2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Cs w:val="21"/>
              </w:rPr>
              <w:t>专业核心课小计</w:t>
            </w:r>
          </w:p>
        </w:tc>
        <w:tc>
          <w:tcPr>
            <w:tcW w:w="285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9</w:t>
            </w:r>
          </w:p>
        </w:tc>
        <w:tc>
          <w:tcPr>
            <w:tcW w:w="355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402</w:t>
            </w:r>
          </w:p>
        </w:tc>
        <w:tc>
          <w:tcPr>
            <w:tcW w:w="357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300</w:t>
            </w:r>
          </w:p>
        </w:tc>
        <w:tc>
          <w:tcPr>
            <w:tcW w:w="315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702</w:t>
            </w:r>
          </w:p>
        </w:tc>
        <w:tc>
          <w:tcPr>
            <w:tcW w:w="201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301" w:type="pct"/>
            <w:gridSpan w:val="2"/>
            <w:vMerge w:val="restart"/>
            <w:shd w:val="clear" w:color="auto" w:fill="D9E2F3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pacing w:val="2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课程类别</w:t>
            </w:r>
          </w:p>
        </w:tc>
        <w:tc>
          <w:tcPr>
            <w:tcW w:w="315" w:type="pct"/>
            <w:vMerge w:val="restart"/>
            <w:shd w:val="clear" w:color="auto" w:fill="D9E2F3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pacing w:val="2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20"/>
                <w:szCs w:val="21"/>
              </w:rPr>
              <w:t>课程性质</w:t>
            </w:r>
          </w:p>
        </w:tc>
        <w:tc>
          <w:tcPr>
            <w:tcW w:w="782" w:type="pct"/>
            <w:vMerge w:val="restart"/>
            <w:shd w:val="clear" w:color="auto" w:fill="D9E2F3"/>
            <w:textDirection w:val="tbRlV"/>
            <w:vAlign w:val="center"/>
          </w:tcPr>
          <w:p>
            <w:pPr>
              <w:widowControl/>
              <w:spacing w:line="320" w:lineRule="exact"/>
              <w:ind w:left="113" w:right="113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课程编码</w:t>
            </w:r>
          </w:p>
        </w:tc>
        <w:tc>
          <w:tcPr>
            <w:tcW w:w="645" w:type="pct"/>
            <w:vMerge w:val="restart"/>
            <w:shd w:val="clear" w:color="auto" w:fill="D9E2F3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课程名称</w:t>
            </w:r>
          </w:p>
        </w:tc>
        <w:tc>
          <w:tcPr>
            <w:tcW w:w="285" w:type="pct"/>
            <w:vMerge w:val="restart"/>
            <w:shd w:val="clear" w:color="auto" w:fill="D9E2F3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 分</w:t>
            </w:r>
          </w:p>
        </w:tc>
        <w:tc>
          <w:tcPr>
            <w:tcW w:w="355" w:type="pct"/>
            <w:vMerge w:val="restart"/>
            <w:shd w:val="clear" w:color="auto" w:fill="D9E2F3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理论</w:t>
            </w:r>
            <w:r>
              <w:rPr>
                <w:rFonts w:cs="宋体" w:asciiTheme="minorEastAsia" w:hAnsiTheme="minorEastAsia" w:eastAsiaTheme="minorEastAsia"/>
                <w:szCs w:val="21"/>
              </w:rPr>
              <w:t>课时</w:t>
            </w:r>
          </w:p>
        </w:tc>
        <w:tc>
          <w:tcPr>
            <w:tcW w:w="357" w:type="pct"/>
            <w:vMerge w:val="restart"/>
            <w:shd w:val="clear" w:color="auto" w:fill="D9E2F3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实践</w:t>
            </w:r>
            <w:r>
              <w:rPr>
                <w:rFonts w:cs="宋体" w:asciiTheme="minorEastAsia" w:hAnsiTheme="minorEastAsia" w:eastAsiaTheme="minorEastAsia"/>
                <w:szCs w:val="21"/>
              </w:rPr>
              <w:t>课时</w:t>
            </w:r>
          </w:p>
        </w:tc>
        <w:tc>
          <w:tcPr>
            <w:tcW w:w="315" w:type="pct"/>
            <w:vMerge w:val="restart"/>
            <w:shd w:val="clear" w:color="auto" w:fill="D9E2F3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总学时</w:t>
            </w:r>
          </w:p>
        </w:tc>
        <w:tc>
          <w:tcPr>
            <w:tcW w:w="1406" w:type="pct"/>
            <w:gridSpan w:val="6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开课学期</w:t>
            </w:r>
          </w:p>
        </w:tc>
        <w:tc>
          <w:tcPr>
            <w:tcW w:w="238" w:type="pct"/>
            <w:vMerge w:val="restart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考核</w:t>
            </w:r>
            <w:r>
              <w:rPr>
                <w:rFonts w:cs="宋体" w:asciiTheme="minorEastAsia" w:hAnsiTheme="minorEastAsia" w:eastAsiaTheme="minorEastAsia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" w:hRule="atLeast"/>
          <w:jc w:val="center"/>
        </w:trPr>
        <w:tc>
          <w:tcPr>
            <w:tcW w:w="301" w:type="pct"/>
            <w:gridSpan w:val="2"/>
            <w:vMerge w:val="continue"/>
            <w:shd w:val="clear" w:color="auto" w:fill="D9E2F3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pacing w:val="20"/>
                <w:szCs w:val="21"/>
              </w:rPr>
            </w:pPr>
          </w:p>
        </w:tc>
        <w:tc>
          <w:tcPr>
            <w:tcW w:w="315" w:type="pct"/>
            <w:vMerge w:val="continue"/>
            <w:shd w:val="clear" w:color="auto" w:fill="D9E2F3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pacing w:val="20"/>
                <w:szCs w:val="21"/>
              </w:rPr>
            </w:pPr>
          </w:p>
        </w:tc>
        <w:tc>
          <w:tcPr>
            <w:tcW w:w="782" w:type="pct"/>
            <w:vMerge w:val="continue"/>
            <w:shd w:val="clear" w:color="auto" w:fill="D9E2F3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</w:p>
        </w:tc>
        <w:tc>
          <w:tcPr>
            <w:tcW w:w="645" w:type="pct"/>
            <w:vMerge w:val="continue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楷体" w:asciiTheme="minorEastAsia" w:hAnsiTheme="minorEastAsia" w:eastAsiaTheme="minorEastAsia"/>
                <w:szCs w:val="21"/>
              </w:rPr>
            </w:pPr>
          </w:p>
        </w:tc>
        <w:tc>
          <w:tcPr>
            <w:tcW w:w="285" w:type="pct"/>
            <w:vMerge w:val="continue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vMerge w:val="continue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7" w:type="pct"/>
            <w:vMerge w:val="continue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15" w:type="pct"/>
            <w:vMerge w:val="continue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01" w:type="pct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一</w:t>
            </w:r>
          </w:p>
        </w:tc>
        <w:tc>
          <w:tcPr>
            <w:tcW w:w="238" w:type="pct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二</w:t>
            </w:r>
          </w:p>
        </w:tc>
        <w:tc>
          <w:tcPr>
            <w:tcW w:w="245" w:type="pct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三</w:t>
            </w:r>
          </w:p>
        </w:tc>
        <w:tc>
          <w:tcPr>
            <w:tcW w:w="240" w:type="pct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四</w:t>
            </w:r>
          </w:p>
        </w:tc>
        <w:tc>
          <w:tcPr>
            <w:tcW w:w="238" w:type="pct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五</w:t>
            </w:r>
          </w:p>
        </w:tc>
        <w:tc>
          <w:tcPr>
            <w:tcW w:w="244" w:type="pct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六</w:t>
            </w:r>
          </w:p>
        </w:tc>
        <w:tc>
          <w:tcPr>
            <w:tcW w:w="238" w:type="pct"/>
            <w:vMerge w:val="continue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261" w:type="pct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gridSpan w:val="2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ZY142000427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</w:pPr>
            <w:r>
              <w:t>中药鉴定技术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24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48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72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261" w:type="pct"/>
            <w:vMerge w:val="restart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gridSpan w:val="2"/>
            <w:vMerge w:val="restart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ZY142000428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</w:pPr>
            <w:r>
              <w:rPr>
                <w:szCs w:val="21"/>
              </w:rPr>
              <w:t>中药制剂辅料与包装材料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261" w:type="pct"/>
            <w:vMerge w:val="continue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gridSpan w:val="2"/>
            <w:vMerge w:val="continue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ZY142000429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</w:pPr>
            <w:r>
              <w:t>中药制剂技术</w:t>
            </w:r>
            <w:r>
              <w:rPr>
                <w:rFonts w:hint="eastAsia"/>
              </w:rPr>
              <w:t>（参赛课程）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8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108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</w:t>
            </w:r>
            <w:r>
              <w:rPr>
                <w:rFonts w:cs="宋体" w:asciiTheme="minorEastAsia" w:hAnsiTheme="minorEastAsia" w:eastAsiaTheme="minorEastAsia"/>
                <w:szCs w:val="21"/>
              </w:rPr>
              <w:t>44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261" w:type="pct"/>
            <w:vMerge w:val="continue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gridSpan w:val="2"/>
            <w:vMerge w:val="continue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ZY142000430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</w:pPr>
            <w:r>
              <w:t>中成药学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261" w:type="pct"/>
            <w:vMerge w:val="continue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gridSpan w:val="2"/>
            <w:vMerge w:val="continue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ZY142000431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</w:pPr>
            <w:r>
              <w:t>中药制剂分析基础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" w:hRule="atLeast"/>
          <w:jc w:val="center"/>
        </w:trPr>
        <w:tc>
          <w:tcPr>
            <w:tcW w:w="261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ZY142000432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t>安全与生产操作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</w:t>
            </w:r>
            <w:r>
              <w:rPr>
                <w:rFonts w:cs="宋体" w:asciiTheme="minorEastAsia" w:hAnsiTheme="minorEastAsia" w:eastAsiaTheme="minorEastAsia"/>
                <w:szCs w:val="21"/>
              </w:rPr>
              <w:t>8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0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  <w:jc w:val="center"/>
        </w:trPr>
        <w:tc>
          <w:tcPr>
            <w:tcW w:w="26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782" w:type="pct"/>
            <w:gridSpan w:val="4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专业技能（方向）课小计</w:t>
            </w:r>
          </w:p>
        </w:tc>
        <w:tc>
          <w:tcPr>
            <w:tcW w:w="285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19</w:t>
            </w:r>
          </w:p>
        </w:tc>
        <w:tc>
          <w:tcPr>
            <w:tcW w:w="355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132</w:t>
            </w:r>
          </w:p>
        </w:tc>
        <w:tc>
          <w:tcPr>
            <w:tcW w:w="357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210</w:t>
            </w:r>
          </w:p>
        </w:tc>
        <w:tc>
          <w:tcPr>
            <w:tcW w:w="315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342</w:t>
            </w:r>
          </w:p>
        </w:tc>
        <w:tc>
          <w:tcPr>
            <w:tcW w:w="201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  <w:jc w:val="center"/>
        </w:trPr>
        <w:tc>
          <w:tcPr>
            <w:tcW w:w="616" w:type="pct"/>
            <w:gridSpan w:val="3"/>
            <w:vMerge w:val="restart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bookmarkStart w:id="16" w:name="_Hlk79849087"/>
            <w:r>
              <w:rPr>
                <w:rFonts w:hint="eastAsia" w:cs="宋体" w:asciiTheme="minorEastAsia" w:hAnsiTheme="minorEastAsia" w:eastAsiaTheme="minorEastAsia"/>
                <w:szCs w:val="21"/>
              </w:rPr>
              <w:t>专业选修</w:t>
            </w:r>
            <w:r>
              <w:rPr>
                <w:rFonts w:cs="宋体" w:asciiTheme="minorEastAsia" w:hAnsiTheme="minorEastAsia" w:eastAsiaTheme="minorEastAsia"/>
                <w:szCs w:val="21"/>
              </w:rPr>
              <w:t>课程</w:t>
            </w: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ZY14200053</w:t>
            </w:r>
            <w:r>
              <w:rPr>
                <w:rFonts w:asciiTheme="minorEastAsia" w:hAnsiTheme="minorEastAsia" w:eastAsiaTheme="minorEastAsia"/>
                <w:caps/>
                <w:szCs w:val="21"/>
              </w:rPr>
              <w:t>3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</w:rPr>
              <w:t>人际沟通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</w:t>
            </w:r>
            <w:r>
              <w:rPr>
                <w:rFonts w:cs="宋体" w:asciiTheme="minorEastAsia" w:hAnsiTheme="minorEastAsia" w:eastAsiaTheme="minorEastAsia"/>
                <w:szCs w:val="21"/>
              </w:rPr>
              <w:t>8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</w:t>
            </w:r>
            <w:r>
              <w:rPr>
                <w:rFonts w:cs="宋体" w:asciiTheme="minorEastAsia" w:hAnsiTheme="minorEastAsia" w:eastAsiaTheme="minorEastAsia"/>
                <w:szCs w:val="21"/>
              </w:rPr>
              <w:t>8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  <w:jc w:val="center"/>
        </w:trPr>
        <w:tc>
          <w:tcPr>
            <w:tcW w:w="616" w:type="pct"/>
            <w:gridSpan w:val="3"/>
            <w:vMerge w:val="continue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ZY14200053</w:t>
            </w:r>
            <w:r>
              <w:rPr>
                <w:rFonts w:asciiTheme="minorEastAsia" w:hAnsiTheme="minorEastAsia" w:eastAsiaTheme="minorEastAsia"/>
                <w:caps/>
                <w:szCs w:val="21"/>
              </w:rPr>
              <w:t>6</w:t>
            </w: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4</w:t>
            </w:r>
          </w:p>
        </w:tc>
        <w:tc>
          <w:tcPr>
            <w:tcW w:w="645" w:type="pct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</w:rPr>
              <w:t>药品市场营销学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7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考查</w:t>
            </w:r>
          </w:p>
        </w:tc>
      </w:tr>
      <w:bookmark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616" w:type="pct"/>
            <w:gridSpan w:val="3"/>
            <w:vMerge w:val="continue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ZY142000535</w:t>
            </w:r>
          </w:p>
        </w:tc>
        <w:tc>
          <w:tcPr>
            <w:tcW w:w="645" w:type="pct"/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 w:asciiTheme="minorEastAsia" w:hAnsiTheme="minorEastAsia" w:eastAsiaTheme="minorEastAsia"/>
              </w:rPr>
              <w:t>生物化学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72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16" w:type="pct"/>
            <w:gridSpan w:val="3"/>
            <w:vMerge w:val="continue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ZY1420005</w:t>
            </w:r>
            <w:r>
              <w:rPr>
                <w:rFonts w:asciiTheme="minorEastAsia" w:hAnsiTheme="minorEastAsia" w:eastAsiaTheme="minorEastAsia"/>
                <w:caps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6</w:t>
            </w:r>
          </w:p>
        </w:tc>
        <w:tc>
          <w:tcPr>
            <w:tcW w:w="64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t>医药商品学</w:t>
            </w:r>
          </w:p>
        </w:tc>
        <w:tc>
          <w:tcPr>
            <w:tcW w:w="28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35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57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54</w:t>
            </w:r>
          </w:p>
        </w:tc>
        <w:tc>
          <w:tcPr>
            <w:tcW w:w="31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201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16" w:type="pct"/>
            <w:gridSpan w:val="3"/>
            <w:vMerge w:val="continue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ZY1420005</w:t>
            </w:r>
            <w:r>
              <w:rPr>
                <w:rFonts w:asciiTheme="minorEastAsia" w:hAnsiTheme="minorEastAsia" w:eastAsiaTheme="minorEastAsia"/>
                <w:caps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7</w:t>
            </w:r>
          </w:p>
        </w:tc>
        <w:tc>
          <w:tcPr>
            <w:tcW w:w="64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lang w:bidi="zh-CN"/>
              </w:rPr>
            </w:pPr>
            <w:r>
              <w:rPr>
                <w:lang w:bidi="zh-CN"/>
              </w:rPr>
              <w:t>中药炮制技术</w:t>
            </w:r>
          </w:p>
        </w:tc>
        <w:tc>
          <w:tcPr>
            <w:tcW w:w="28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5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57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1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201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4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16" w:type="pct"/>
            <w:gridSpan w:val="3"/>
            <w:vMerge w:val="continue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782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 w:eastAsiaTheme="minorEastAsia"/>
                <w:cap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ZY1420005</w:t>
            </w:r>
            <w:r>
              <w:rPr>
                <w:rFonts w:asciiTheme="minorEastAsia" w:hAnsiTheme="minorEastAsia" w:eastAsiaTheme="minorEastAsia"/>
                <w:caps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/>
                <w:caps/>
                <w:szCs w:val="21"/>
              </w:rPr>
              <w:t>8</w:t>
            </w:r>
          </w:p>
        </w:tc>
        <w:tc>
          <w:tcPr>
            <w:tcW w:w="64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lang w:bidi="zh-CN"/>
              </w:rPr>
            </w:pPr>
            <w:r>
              <w:rPr>
                <w:rFonts w:hint="eastAsia" w:asciiTheme="minorEastAsia" w:hAnsiTheme="minorEastAsia" w:eastAsiaTheme="minorEastAsia"/>
              </w:rPr>
              <w:t>环境保护与节能排放</w:t>
            </w:r>
          </w:p>
        </w:tc>
        <w:tc>
          <w:tcPr>
            <w:tcW w:w="28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35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57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31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201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4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  <w:jc w:val="center"/>
        </w:trPr>
        <w:tc>
          <w:tcPr>
            <w:tcW w:w="616" w:type="pct"/>
            <w:gridSpan w:val="3"/>
            <w:vMerge w:val="continue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427" w:type="pct"/>
            <w:gridSpan w:val="2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专业选修课小计</w:t>
            </w:r>
          </w:p>
        </w:tc>
        <w:tc>
          <w:tcPr>
            <w:tcW w:w="285" w:type="pct"/>
            <w:shd w:val="clear" w:color="auto" w:fill="B8CCE4" w:themeFill="accent1" w:themeFillTint="66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16</w:t>
            </w:r>
          </w:p>
        </w:tc>
        <w:tc>
          <w:tcPr>
            <w:tcW w:w="355" w:type="pct"/>
            <w:shd w:val="clear" w:color="auto" w:fill="B8CCE4" w:themeFill="accent1" w:themeFillTint="66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126</w:t>
            </w:r>
          </w:p>
        </w:tc>
        <w:tc>
          <w:tcPr>
            <w:tcW w:w="357" w:type="pct"/>
            <w:shd w:val="clear" w:color="auto" w:fill="B8CCE4" w:themeFill="accent1" w:themeFillTint="66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pacing w:val="-3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-30"/>
                <w:sz w:val="21"/>
                <w:szCs w:val="21"/>
              </w:rPr>
              <w:t>162</w:t>
            </w:r>
          </w:p>
        </w:tc>
        <w:tc>
          <w:tcPr>
            <w:tcW w:w="315" w:type="pct"/>
            <w:shd w:val="clear" w:color="auto" w:fill="B8CCE4" w:themeFill="accent1" w:themeFillTint="66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pacing w:val="-3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-30"/>
                <w:sz w:val="21"/>
                <w:szCs w:val="21"/>
              </w:rPr>
              <w:t>288</w:t>
            </w:r>
          </w:p>
        </w:tc>
        <w:tc>
          <w:tcPr>
            <w:tcW w:w="201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616" w:type="pct"/>
            <w:gridSpan w:val="3"/>
            <w:vMerge w:val="restart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综合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实践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课程</w:t>
            </w:r>
          </w:p>
        </w:tc>
        <w:tc>
          <w:tcPr>
            <w:tcW w:w="1427" w:type="pct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综合实训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15</w:t>
            </w: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7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27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0</w:t>
            </w:r>
          </w:p>
        </w:tc>
        <w:tc>
          <w:tcPr>
            <w:tcW w:w="31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27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0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616" w:type="pct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427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定岗实习</w:t>
            </w:r>
          </w:p>
        </w:tc>
        <w:tc>
          <w:tcPr>
            <w:tcW w:w="28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30</w:t>
            </w:r>
          </w:p>
        </w:tc>
        <w:tc>
          <w:tcPr>
            <w:tcW w:w="35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7" w:type="pct"/>
            <w:tcBorders>
              <w:bottom w:val="single" w:color="auto" w:sz="4" w:space="0"/>
            </w:tcBorders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540</w:t>
            </w:r>
          </w:p>
        </w:tc>
        <w:tc>
          <w:tcPr>
            <w:tcW w:w="315" w:type="pct"/>
            <w:tcBorders>
              <w:bottom w:val="single" w:color="auto" w:sz="4" w:space="0"/>
            </w:tcBorders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540</w:t>
            </w:r>
          </w:p>
        </w:tc>
        <w:tc>
          <w:tcPr>
            <w:tcW w:w="201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" w:hRule="atLeast"/>
          <w:jc w:val="center"/>
        </w:trPr>
        <w:tc>
          <w:tcPr>
            <w:tcW w:w="616" w:type="pct"/>
            <w:gridSpan w:val="3"/>
            <w:vMerge w:val="continue"/>
            <w:shd w:val="clear" w:color="auto" w:fill="D9E2F3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427" w:type="pct"/>
            <w:gridSpan w:val="2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综合实践课小计</w:t>
            </w:r>
          </w:p>
        </w:tc>
        <w:tc>
          <w:tcPr>
            <w:tcW w:w="285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45</w:t>
            </w:r>
          </w:p>
        </w:tc>
        <w:tc>
          <w:tcPr>
            <w:tcW w:w="355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7" w:type="pct"/>
            <w:shd w:val="clear" w:color="auto" w:fill="B8CCE4" w:themeFill="accent1" w:themeFillTint="66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810</w:t>
            </w:r>
          </w:p>
        </w:tc>
        <w:tc>
          <w:tcPr>
            <w:tcW w:w="315" w:type="pct"/>
            <w:shd w:val="clear" w:color="auto" w:fill="B8CCE4" w:themeFill="accent1" w:themeFillTint="66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810</w:t>
            </w:r>
          </w:p>
        </w:tc>
        <w:tc>
          <w:tcPr>
            <w:tcW w:w="201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2043" w:type="pct"/>
            <w:gridSpan w:val="5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教学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课时总计</w:t>
            </w:r>
          </w:p>
        </w:tc>
        <w:tc>
          <w:tcPr>
            <w:tcW w:w="285" w:type="pct"/>
            <w:shd w:val="clear" w:color="auto" w:fill="B8CCE4" w:themeFill="accent1" w:themeFillTint="66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18</w:t>
            </w: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0</w:t>
            </w:r>
          </w:p>
        </w:tc>
        <w:tc>
          <w:tcPr>
            <w:tcW w:w="355" w:type="pct"/>
            <w:shd w:val="clear" w:color="auto" w:fill="B8CCE4" w:themeFill="accent1" w:themeFillTint="66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pacing w:val="-3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pacing w:val="-30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auto"/>
                <w:spacing w:val="-30"/>
                <w:sz w:val="21"/>
                <w:szCs w:val="21"/>
              </w:rPr>
              <w:t>542</w:t>
            </w:r>
          </w:p>
        </w:tc>
        <w:tc>
          <w:tcPr>
            <w:tcW w:w="357" w:type="pct"/>
            <w:shd w:val="clear" w:color="auto" w:fill="B8CCE4" w:themeFill="accent1" w:themeFillTint="66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pacing w:val="-3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pacing w:val="-30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auto"/>
                <w:spacing w:val="-30"/>
                <w:sz w:val="21"/>
                <w:szCs w:val="21"/>
              </w:rPr>
              <w:t>698</w:t>
            </w:r>
          </w:p>
        </w:tc>
        <w:tc>
          <w:tcPr>
            <w:tcW w:w="315" w:type="pct"/>
            <w:shd w:val="clear" w:color="auto" w:fill="B8CCE4" w:themeFill="accent1" w:themeFillTint="66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pacing w:val="-3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pacing w:val="-30"/>
                <w:sz w:val="21"/>
                <w:szCs w:val="21"/>
              </w:rPr>
              <w:t>32</w:t>
            </w:r>
            <w:r>
              <w:rPr>
                <w:rFonts w:hint="eastAsia" w:asciiTheme="minorEastAsia" w:hAnsiTheme="minorEastAsia" w:eastAsiaTheme="minorEastAsia"/>
                <w:color w:val="auto"/>
                <w:spacing w:val="-30"/>
                <w:sz w:val="21"/>
                <w:szCs w:val="21"/>
              </w:rPr>
              <w:t>40</w:t>
            </w:r>
          </w:p>
        </w:tc>
        <w:tc>
          <w:tcPr>
            <w:tcW w:w="201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5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0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shd w:val="clear" w:color="auto" w:fill="B8CCE4" w:themeFill="accent1" w:themeFillTint="66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616" w:type="pct"/>
            <w:gridSpan w:val="3"/>
            <w:vMerge w:val="restart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pacing w:val="-2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-20"/>
                <w:kern w:val="0"/>
                <w:szCs w:val="21"/>
              </w:rPr>
              <w:t>教学</w:t>
            </w:r>
          </w:p>
          <w:p>
            <w:pPr>
              <w:spacing w:line="32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pacing w:val="-20"/>
                <w:kern w:val="0"/>
                <w:szCs w:val="21"/>
              </w:rPr>
            </w:pPr>
            <w:r>
              <w:rPr>
                <w:rFonts w:cs="宋体" w:asciiTheme="minorEastAsia" w:hAnsiTheme="minorEastAsia" w:eastAsiaTheme="minorEastAsia"/>
                <w:spacing w:val="-20"/>
                <w:kern w:val="0"/>
                <w:szCs w:val="21"/>
              </w:rPr>
              <w:t>活动</w:t>
            </w:r>
          </w:p>
        </w:tc>
        <w:tc>
          <w:tcPr>
            <w:tcW w:w="1427" w:type="pct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复习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考试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7" w:type="pct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0</w:t>
            </w:r>
          </w:p>
        </w:tc>
        <w:tc>
          <w:tcPr>
            <w:tcW w:w="315" w:type="pct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0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616" w:type="pct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427" w:type="pct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认知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实习/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社会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实践</w:t>
            </w:r>
          </w:p>
        </w:tc>
        <w:tc>
          <w:tcPr>
            <w:tcW w:w="28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357" w:type="pct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0</w:t>
            </w:r>
          </w:p>
        </w:tc>
        <w:tc>
          <w:tcPr>
            <w:tcW w:w="315" w:type="pct"/>
            <w:vAlign w:val="center"/>
          </w:tcPr>
          <w:p>
            <w:pPr>
              <w:pStyle w:val="25"/>
              <w:spacing w:line="320" w:lineRule="exact"/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color w:val="auto"/>
                <w:sz w:val="21"/>
                <w:szCs w:val="21"/>
              </w:rPr>
              <w:t>0</w:t>
            </w:r>
          </w:p>
        </w:tc>
        <w:tc>
          <w:tcPr>
            <w:tcW w:w="201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5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40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√</w:t>
            </w: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44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38" w:type="pct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</w:tr>
    </w:tbl>
    <w:p>
      <w:pPr>
        <w:spacing w:line="440" w:lineRule="exact"/>
        <w:ind w:firstLine="496" w:firstLineChars="207"/>
        <w:rPr>
          <w:rFonts w:asciiTheme="minorEastAsia" w:hAnsiTheme="minorEastAsia" w:eastAsiaTheme="minorEastAsia"/>
          <w:sz w:val="24"/>
          <w:szCs w:val="24"/>
        </w:rPr>
        <w:sectPr>
          <w:pgSz w:w="11907" w:h="16840"/>
          <w:pgMar w:top="1440" w:right="1077" w:bottom="1440" w:left="1077" w:header="851" w:footer="851" w:gutter="0"/>
          <w:pgNumType w:fmt="numberInDash"/>
          <w:cols w:space="720" w:num="1"/>
          <w:titlePg/>
          <w:docGrid w:linePitch="297" w:charSpace="-1354"/>
        </w:sectPr>
      </w:pPr>
    </w:p>
    <w:p>
      <w:pPr>
        <w:pStyle w:val="3"/>
        <w:spacing w:line="440" w:lineRule="exact"/>
        <w:rPr>
          <w:rFonts w:ascii="黑体" w:hAnsi="黑体"/>
          <w:sz w:val="28"/>
          <w:szCs w:val="18"/>
        </w:rPr>
      </w:pPr>
      <w:bookmarkStart w:id="17" w:name="_Toc99454618"/>
      <w:r>
        <w:rPr>
          <w:rFonts w:hint="eastAsia" w:ascii="黑体" w:hAnsi="黑体"/>
          <w:sz w:val="28"/>
          <w:szCs w:val="18"/>
        </w:rPr>
        <w:t>八、实施保障</w:t>
      </w:r>
      <w:bookmarkEnd w:id="17"/>
      <w:r>
        <w:rPr>
          <w:rFonts w:hint="eastAsia" w:ascii="黑体" w:hAnsi="黑体"/>
          <w:sz w:val="28"/>
          <w:szCs w:val="18"/>
        </w:rPr>
        <w:t>zhuanye</w:t>
      </w:r>
    </w:p>
    <w:p>
      <w:pPr>
        <w:pStyle w:val="4"/>
        <w:numPr>
          <w:ilvl w:val="0"/>
          <w:numId w:val="8"/>
        </w:numPr>
        <w:spacing w:line="440" w:lineRule="exact"/>
        <w:rPr>
          <w:rFonts w:cs="黑体" w:asciiTheme="minorEastAsia" w:hAnsiTheme="minorEastAsia" w:eastAsiaTheme="minorEastAsia"/>
          <w:sz w:val="24"/>
          <w:szCs w:val="16"/>
        </w:rPr>
      </w:pPr>
      <w:bookmarkStart w:id="18" w:name="_Toc99454619"/>
      <w:r>
        <w:rPr>
          <w:rFonts w:hint="eastAsia" w:cs="黑体" w:asciiTheme="minorEastAsia" w:hAnsiTheme="minorEastAsia" w:eastAsiaTheme="minorEastAsia"/>
          <w:sz w:val="24"/>
          <w:szCs w:val="16"/>
        </w:rPr>
        <w:t>师资队伍</w:t>
      </w:r>
      <w:bookmarkEnd w:id="18"/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中药制药专业现有专任教师27人，兼职教师5人，其中高级职称12人，中级职称7人，硕士研究生以上学历4人，双师型教师8人，占专业课教师</w:t>
      </w:r>
      <w:r>
        <w:rPr>
          <w:rFonts w:asciiTheme="minorEastAsia" w:hAnsiTheme="minorEastAsia" w:eastAsiaTheme="minorEastAsia"/>
          <w:sz w:val="24"/>
          <w:szCs w:val="24"/>
        </w:rPr>
        <w:t>7</w:t>
      </w:r>
      <w:r>
        <w:rPr>
          <w:rFonts w:hint="eastAsia" w:asciiTheme="minorEastAsia" w:hAnsiTheme="minorEastAsia" w:eastAsiaTheme="minorEastAsia"/>
          <w:sz w:val="24"/>
          <w:szCs w:val="24"/>
        </w:rPr>
        <w:t>3</w:t>
      </w:r>
      <w:r>
        <w:rPr>
          <w:rFonts w:asciiTheme="minorEastAsia" w:hAnsiTheme="minorEastAsia" w:eastAsiaTheme="minorEastAsia"/>
          <w:sz w:val="24"/>
          <w:szCs w:val="24"/>
        </w:rPr>
        <w:t>%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教学团队要求：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）教学团队年龄、职称、学历结构合理，生师比不高于</w:t>
      </w:r>
      <w:r>
        <w:rPr>
          <w:rFonts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）教学团队由学校专任教师和行业知名专家、兼职教师组成。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）专业带头人应具备副教授以上职称，具有较高的学术水平和较好的组织、管理和领导能力。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  <w:r>
        <w:rPr>
          <w:rFonts w:asciiTheme="minorEastAsia" w:hAnsiTheme="minorEastAsia" w:eastAsiaTheme="minorEastAsia"/>
          <w:sz w:val="24"/>
          <w:szCs w:val="24"/>
        </w:rPr>
        <w:t>“</w:t>
      </w:r>
      <w:r>
        <w:rPr>
          <w:rFonts w:hint="eastAsia" w:asciiTheme="minorEastAsia" w:hAnsiTheme="minorEastAsia" w:eastAsiaTheme="minorEastAsia"/>
          <w:sz w:val="24"/>
          <w:szCs w:val="24"/>
        </w:rPr>
        <w:t>双师</w:t>
      </w:r>
      <w:r>
        <w:rPr>
          <w:rFonts w:asciiTheme="minorEastAsia" w:hAnsiTheme="minorEastAsia" w:eastAsiaTheme="minorEastAsia"/>
          <w:sz w:val="24"/>
          <w:szCs w:val="24"/>
        </w:rPr>
        <w:t>”</w:t>
      </w:r>
      <w:r>
        <w:rPr>
          <w:rFonts w:hint="eastAsia" w:asciiTheme="minorEastAsia" w:hAnsiTheme="minorEastAsia" w:eastAsiaTheme="minorEastAsia"/>
          <w:sz w:val="24"/>
          <w:szCs w:val="24"/>
        </w:rPr>
        <w:t>素质教师占专业课教师比例</w:t>
      </w:r>
      <w:r>
        <w:rPr>
          <w:rFonts w:asciiTheme="minorEastAsia" w:hAnsiTheme="minorEastAsia" w:eastAsiaTheme="minorEastAsia"/>
          <w:sz w:val="24"/>
          <w:szCs w:val="24"/>
        </w:rPr>
        <w:t>70%</w:t>
      </w:r>
      <w:r>
        <w:rPr>
          <w:rFonts w:hint="eastAsia" w:asciiTheme="minorEastAsia" w:hAnsiTheme="minorEastAsia" w:eastAsiaTheme="minorEastAsia"/>
          <w:sz w:val="24"/>
          <w:szCs w:val="24"/>
        </w:rPr>
        <w:t>以上。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）专业教师的数量和结构能满足专业办学规模，专兼职教师比为</w:t>
      </w:r>
      <w:r>
        <w:rPr>
          <w:rFonts w:asciiTheme="minorEastAsia" w:hAnsiTheme="minorEastAsia" w:eastAsiaTheme="minorEastAsia"/>
          <w:sz w:val="24"/>
          <w:szCs w:val="24"/>
        </w:rPr>
        <w:t>2:1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）每门课程原则上都由讲师及以上职称的教师担任课程负责人。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2.专任教师要求：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  <w:lang w:bidi="zh-CN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  <w:r>
        <w:rPr>
          <w:rFonts w:asciiTheme="minorEastAsia" w:hAnsiTheme="minorEastAsia" w:eastAsiaTheme="minorEastAsia"/>
          <w:sz w:val="24"/>
          <w:szCs w:val="24"/>
          <w:lang w:bidi="zh-CN"/>
        </w:rPr>
        <w:t>具有与授课课程对口专业的大学本科及以上毕业证书和学位证书，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  <w:lang w:bidi="zh-CN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）具有</w:t>
      </w:r>
      <w:r>
        <w:rPr>
          <w:rFonts w:asciiTheme="minorEastAsia" w:hAnsiTheme="minorEastAsia" w:eastAsiaTheme="minorEastAsia"/>
          <w:sz w:val="24"/>
          <w:szCs w:val="24"/>
          <w:lang w:bidi="zh-CN"/>
        </w:rPr>
        <w:t>中等职业学校教师资格证书。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）具有专业相关的中级及以上职业资格证书或技术职称。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）热心教育事业，责任心强，善于沟通，为人师表，关爱学生。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）能够承担一门及以上专业课程教学工作。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）能承担中药制药专业一种及以上技术领域的实习实训指导工作。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7</w:t>
      </w:r>
      <w:r>
        <w:rPr>
          <w:rFonts w:hint="eastAsia" w:asciiTheme="minorEastAsia" w:hAnsiTheme="minorEastAsia" w:eastAsiaTheme="minorEastAsia"/>
          <w:sz w:val="24"/>
          <w:szCs w:val="24"/>
        </w:rPr>
        <w:t>）具有一定的课程开发能力，并能遵循职业教育教学规律进行课程设计、教学组织、教学实施和评价工作，通过了教育教学能力测试。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8</w:t>
      </w:r>
      <w:r>
        <w:rPr>
          <w:rFonts w:hint="eastAsia" w:asciiTheme="minorEastAsia" w:hAnsiTheme="minorEastAsia" w:eastAsiaTheme="minorEastAsia"/>
          <w:sz w:val="24"/>
          <w:szCs w:val="24"/>
        </w:rPr>
        <w:t>）熟悉所服务的地方产业的现状和发展趋势，至少与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家企业保持密切联系；熟悉企业</w:t>
      </w:r>
      <w:r>
        <w:rPr>
          <w:rFonts w:asciiTheme="minorEastAsia" w:hAnsiTheme="minorEastAsia" w:eastAsiaTheme="minorEastAsia"/>
          <w:sz w:val="24"/>
          <w:szCs w:val="24"/>
        </w:rPr>
        <w:t>现状，能及时将企业新技术、新工艺、新设备等资源纳入课程；近5年中累计有</w:t>
      </w:r>
      <w:r>
        <w:rPr>
          <w:rFonts w:hint="eastAsia" w:asciiTheme="minorEastAsia" w:hAnsiTheme="minorEastAsia" w:eastAsiaTheme="minorEastAsia"/>
          <w:sz w:val="24"/>
          <w:szCs w:val="24"/>
        </w:rPr>
        <w:t>5</w:t>
      </w:r>
      <w:r>
        <w:rPr>
          <w:rFonts w:asciiTheme="minorEastAsia" w:hAnsiTheme="minorEastAsia" w:eastAsiaTheme="minorEastAsia"/>
          <w:sz w:val="24"/>
          <w:szCs w:val="24"/>
        </w:rPr>
        <w:t>个月的企业一线工作经历。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3.兼职教师要求：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）热心教育事业，责任心强，善于沟通。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）企业的培训讲师、部门经理、主管，从事中药制药等相关工作</w:t>
      </w: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年以上。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）具有一定的教学能力，能够讲授一门专业核心课程。</w:t>
      </w:r>
    </w:p>
    <w:p>
      <w:pPr>
        <w:pStyle w:val="4"/>
        <w:numPr>
          <w:ilvl w:val="0"/>
          <w:numId w:val="8"/>
        </w:numPr>
        <w:spacing w:line="440" w:lineRule="exact"/>
        <w:rPr>
          <w:rFonts w:cs="黑体" w:asciiTheme="minorEastAsia" w:hAnsiTheme="minorEastAsia" w:eastAsiaTheme="minorEastAsia"/>
          <w:sz w:val="24"/>
          <w:szCs w:val="16"/>
        </w:rPr>
      </w:pPr>
      <w:bookmarkStart w:id="19" w:name="_Toc99454620"/>
      <w:r>
        <w:rPr>
          <w:rFonts w:hint="eastAsia" w:cs="黑体" w:asciiTheme="minorEastAsia" w:hAnsiTheme="minorEastAsia" w:eastAsiaTheme="minorEastAsia"/>
          <w:sz w:val="24"/>
          <w:szCs w:val="16"/>
        </w:rPr>
        <w:t>教学设施</w:t>
      </w:r>
      <w:bookmarkEnd w:id="19"/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通过中药基地的药用植物园、中药标本馆、中药检测中心、中药数字化网络平台、中药制剂实训基地建设，能够很好地满足中药制药专业学生实习实训和社会培训的教学需要，使理论教学与实践操作紧密结合,提高学生的专业技能和解决问题的综合能力。</w:t>
      </w:r>
    </w:p>
    <w:p>
      <w:pPr>
        <w:pStyle w:val="4"/>
        <w:numPr>
          <w:ilvl w:val="0"/>
          <w:numId w:val="8"/>
        </w:numPr>
        <w:spacing w:line="440" w:lineRule="exact"/>
        <w:rPr>
          <w:rFonts w:cs="黑体" w:asciiTheme="minorEastAsia" w:hAnsiTheme="minorEastAsia" w:eastAsiaTheme="minorEastAsia"/>
          <w:sz w:val="24"/>
          <w:szCs w:val="16"/>
        </w:rPr>
      </w:pPr>
      <w:bookmarkStart w:id="20" w:name="_Toc99454621"/>
      <w:r>
        <w:rPr>
          <w:rFonts w:hint="eastAsia" w:cs="黑体" w:asciiTheme="minorEastAsia" w:hAnsiTheme="minorEastAsia" w:eastAsiaTheme="minorEastAsia"/>
          <w:sz w:val="24"/>
          <w:szCs w:val="16"/>
        </w:rPr>
        <w:t>教学资源</w:t>
      </w:r>
      <w:bookmarkEnd w:id="20"/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学校针对专业内容，选择全国医药中等职业教育药学类“十三五”规划教材，采购了《全国中草药汇编》、《中国药典》、《中药大辞典》等专业工具书。</w:t>
      </w:r>
    </w:p>
    <w:p>
      <w:pPr>
        <w:pStyle w:val="4"/>
        <w:numPr>
          <w:ilvl w:val="0"/>
          <w:numId w:val="8"/>
        </w:numPr>
        <w:spacing w:line="440" w:lineRule="exact"/>
        <w:rPr>
          <w:rFonts w:cs="黑体" w:asciiTheme="minorEastAsia" w:hAnsiTheme="minorEastAsia" w:eastAsiaTheme="minorEastAsia"/>
          <w:sz w:val="24"/>
          <w:szCs w:val="16"/>
        </w:rPr>
      </w:pPr>
      <w:bookmarkStart w:id="21" w:name="_Toc99454622"/>
      <w:r>
        <w:rPr>
          <w:rFonts w:hint="eastAsia" w:cs="黑体" w:asciiTheme="minorEastAsia" w:hAnsiTheme="minorEastAsia" w:eastAsiaTheme="minorEastAsia"/>
          <w:sz w:val="24"/>
          <w:szCs w:val="16"/>
        </w:rPr>
        <w:t>教学方法</w:t>
      </w:r>
      <w:bookmarkEnd w:id="21"/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学校每年把每届中药制药专业在校学生，前四个学期按照中专教学计划，学生在校内完成课堂理论教学及实验教学。从第三学年第一学期进驻企业，边学习边实践，真正做到理论联系实际，培养成讲究文明、遵纪守时、吃苦耐劳、精通技术、学会做事的中初级技术人才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遵照学生自愿，加之学校与企业正确的引导的思路，把学生分为三个专业方向：中药制剂、中药检验、药品营销。做到专业方向相对稳定，技术学的精湛。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在不影响企业生产管理的基础上，管理学生。让学生真正接受指导和学到过硬的技术，培养合格人才。</w:t>
      </w:r>
    </w:p>
    <w:p>
      <w:pPr>
        <w:pStyle w:val="4"/>
        <w:numPr>
          <w:ilvl w:val="0"/>
          <w:numId w:val="8"/>
        </w:numPr>
        <w:spacing w:line="440" w:lineRule="exact"/>
        <w:rPr>
          <w:rFonts w:cs="黑体" w:asciiTheme="minorEastAsia" w:hAnsiTheme="minorEastAsia" w:eastAsiaTheme="minorEastAsia"/>
          <w:sz w:val="24"/>
          <w:szCs w:val="16"/>
        </w:rPr>
      </w:pPr>
      <w:bookmarkStart w:id="22" w:name="_Toc99454623"/>
      <w:r>
        <w:rPr>
          <w:rFonts w:hint="eastAsia" w:cs="黑体" w:asciiTheme="minorEastAsia" w:hAnsiTheme="minorEastAsia" w:eastAsiaTheme="minorEastAsia"/>
          <w:sz w:val="24"/>
          <w:szCs w:val="16"/>
        </w:rPr>
        <w:t>学习评价</w:t>
      </w:r>
      <w:bookmarkEnd w:id="22"/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构建多方共同参与的以能力为核心的评价模式，由学校教研室、教务处及学生处共同负责对中药制药专业教学秩序、教学质量和教学工作状态进行监督、检查、测评。进一步完善、落实学生评教、信息反馈等相关监控、评价制度，完善期中、期末质量评价。把课程考试与职业资格鉴定相结合，实现技能实训、理论考试、劳动纪律、企业评价等多元化的考核形式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理论课程的考核评价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理论课程采用平时作业成绩（作业、课堂表现、小组合作、出勤）占30%，理论考试占70%的纸笔形式进行考核，考试主要题型包括填空、选择、判断、简答、论述。全方位对学生学习情况进行评价和考核。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实践课程的考核评价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实训课程采用了平时成绩（平时实训作业、项目任务考核、出勤及纪律）占30%，实训操作考核占70%，以实操任务完成情况方式进行考核，全方位对学生实际操作能力进行评价和考核。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顶岗实习的考核评价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培育学生职业道德，引导学生全面发展。构建由学校、实习企业、技能考核三个方面考核评价机制，综合评定学生学习效果。实习的出勤成绩占学生实习综合评价成绩的10%，由实习企业负责评定；工作态度及任务完成情况的业绩考核占综合考核成绩的50%，由实习企业和实习指导教师共同负责评定；学生按照实习项目和任务要求，制定工作计划，撰写工作日记，填写任务工作单，项目完成后撰写工作总结，这部分成绩占综合考核成绩的40%，由校内专业指导教师负责评定。把学生的“德、勤、绩、技、能”全部涵盖其中，引导学生全面发展，努力提高学生综合职业素养。</w:t>
      </w:r>
    </w:p>
    <w:p>
      <w:pPr>
        <w:pStyle w:val="4"/>
        <w:numPr>
          <w:ilvl w:val="0"/>
          <w:numId w:val="8"/>
        </w:numPr>
        <w:spacing w:line="440" w:lineRule="exact"/>
        <w:rPr>
          <w:rFonts w:cs="黑体" w:asciiTheme="minorEastAsia" w:hAnsiTheme="minorEastAsia" w:eastAsiaTheme="minorEastAsia"/>
          <w:sz w:val="24"/>
          <w:szCs w:val="16"/>
        </w:rPr>
      </w:pPr>
      <w:bookmarkStart w:id="23" w:name="_Toc99454624"/>
      <w:r>
        <w:rPr>
          <w:rFonts w:hint="eastAsia" w:cs="黑体" w:asciiTheme="minorEastAsia" w:hAnsiTheme="minorEastAsia" w:eastAsiaTheme="minorEastAsia"/>
          <w:sz w:val="24"/>
          <w:szCs w:val="16"/>
        </w:rPr>
        <w:t>质量管理</w:t>
      </w:r>
      <w:bookmarkEnd w:id="23"/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教学组织管理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校长全面负责学校的教学工作，分管教学的副校长协助校长主持教学日常工作。学校教学的重大改革举措和重要政策措施等，由校长办公会讨论立定。学校实行学校、专业科室二级管理。教务科是学校教学管理的主要职能部门，专业科室是学校教学管理机构的基本单位。为加强学校的教学管理工作，成立了学校教学工作委员会，教学工作委员会是在校长领带下，研究和决定学校教学管理工作出现的一些重大问题、对学校的教学工作进行调查、研究、评估、检查和指导。为专业建设各专业成立了专业建设委员会，对各专业人才培养模式、人才培养方案、教材建设、重大教学改革工作进行研究、指导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教学管理制度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学校建立并严格执行了教学组织管理、教学运行管理、师资队伍建设、教学质量与评价和教学基本建设管理制度，确保了人才培养工作的顺利进行。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（1）教学运行管理制度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学校制定了《教学管理制度》、《实验实训教学管理规定》、《学生顶岗实习管理办法》、《教师教学工作规范与基本要求》等制度，并在教学运行中严格执行，确保教学工作的顺利进行是。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（2）师资队伍建设制度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学校制定了《专业带头人选拔与管理办法》、《双师素质教师认定与管理办法》、《兼职教师聘任与管理办法》、《教师到企业实践锻炼管理办法》等制度保障，教师队伍建设工作，提高专业教师的整体素质，确保人才培养质量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（3）教学基本建设管理制度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学校制定了《校内实训基地建设与管理办法》、《校外实训基地建设与管理办法》、《教学仪器设备管理办法》等制度，加强教学基本条件建设，确保人才培养工作的顺利实施。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顶岗实习的管理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建立顶岗实习组织机构，完善学生顶岗实习管理制度。为加强学生顶岗实习管理，学校制定了《学生顶岗实习管理办法》，成立了由校长作组长的学生顶岗实习工作领导小组，顶岗实习工作领导小组负责统筹、协调、指导全校各专业的顶岗实习工作。各专业成立由专业科长任组长，各专业建设负责人、骨干教师和企业兼职教师组成的学生顶岗实习工作组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加强学生顶岗实习的过程管理。顶岗实习前各专业根据课程标准的要求，与实习单位共同编制专业学生顶岗实习计划，明确实习目标和内容。学生到实习单位顶岗实习前，学校、实习单位、学生签订三方顶岗实习协议，明确各自责任、权利和义务。对集中实习的实行双指导教师制度，对分散实习的指定专业教师进行跟踪管理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（3）校企双方共同制定顶岗实习评价标准，共同对学生进行考核。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4.</w:t>
      </w:r>
      <w:r>
        <w:rPr>
          <w:rFonts w:hint="eastAsia" w:asciiTheme="minorEastAsia" w:hAnsiTheme="minorEastAsia" w:eastAsiaTheme="minorEastAsia"/>
          <w:sz w:val="24"/>
          <w:szCs w:val="24"/>
        </w:rPr>
        <w:t>企业参与的教学质量评价与监控体系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构建二级教学质量组织系统。建立学校、专业科室构成的二级教学质量组织。学校教学工作委员会作为全校教学质量工作的决策机构。委员会成员由校长、副校长、教务科长、各专业科长、教师和企业兼职教师、管理人员代表组成，校长担任教学工作委员会主任、副校长和企管管理人员任副主任，教学工作委员会日常工作由教务科负责，教学督导组、各专业科协调配合，企业兼职教师、管理人员及学生信息参与的质量评价与监控组织系统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建立教学质量评价与监控制度体系。一是建立日常教学检查制度。二是建立各级人员听课制度。三是建立教师教学工作考核制度，对教师的教学工作从质和量两方面进行考核，考核结果是的职称评定挂钩。四是建立学生民主评教制度。五是建立奖惩制度，设立教学优秀奖，奖励在教学工作中业绩突出的一线教师；实行学期业绩建立教学事故责任追究制度，对各类教学事故的相关责任人，严格按学校《教学事故认定及处理办法》处理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3）建立教学质量信息反馈调控体系，包括常规教学检查反馈调控、教师课程教学质量评价反馈调控及人才培养质量反馈调控（掌握用人单位对毕业生的整体评价，及时调整人才培养方案，使学校各专业人才培养方案与社会需求保持动态的适应性）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通过建立企业参与的教学质量评价与监控体系，及时发现教学和管理中存在的问题，对学校人才培养中出现的问题和危机做出预警，确保了学校人才培养的质量。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5.</w:t>
      </w:r>
      <w:r>
        <w:rPr>
          <w:rFonts w:hint="eastAsia" w:asciiTheme="minorEastAsia" w:hAnsiTheme="minorEastAsia" w:eastAsiaTheme="minorEastAsia"/>
          <w:sz w:val="24"/>
          <w:szCs w:val="24"/>
        </w:rPr>
        <w:t>校企合作运行机制建设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建立和完善校企合作组织机构。成立专业建设指导委员会，与企业积极配合，形成“企业参与、学校实施”的校企合作机制，为校企合作制定人才培养方案，校企合作育人提供组织保障。</w:t>
      </w:r>
    </w:p>
    <w:p>
      <w:pPr>
        <w:pStyle w:val="3"/>
        <w:spacing w:line="440" w:lineRule="exact"/>
        <w:rPr>
          <w:rFonts w:ascii="黑体" w:hAnsi="黑体"/>
          <w:sz w:val="28"/>
          <w:szCs w:val="18"/>
        </w:rPr>
      </w:pPr>
      <w:bookmarkStart w:id="24" w:name="_Toc99454625"/>
      <w:r>
        <w:rPr>
          <w:rFonts w:hint="eastAsia" w:ascii="黑体" w:hAnsi="黑体"/>
          <w:sz w:val="28"/>
          <w:szCs w:val="18"/>
        </w:rPr>
        <w:t>九、毕业要求</w:t>
      </w:r>
      <w:bookmarkEnd w:id="24"/>
    </w:p>
    <w:p>
      <w:pPr>
        <w:pStyle w:val="31"/>
        <w:spacing w:line="440" w:lineRule="exact"/>
        <w:ind w:left="0" w:firstLine="480" w:firstLineChars="200"/>
        <w:rPr>
          <w:rFonts w:asciiTheme="minorEastAsia" w:hAnsiTheme="minorEastAsia" w:eastAsiaTheme="minorEastAsia"/>
          <w:color w:val="auto"/>
        </w:rPr>
      </w:pPr>
      <w:r>
        <w:rPr>
          <w:rFonts w:asciiTheme="minorEastAsia" w:hAnsiTheme="minorEastAsia" w:eastAsiaTheme="minorEastAsia"/>
          <w:color w:val="auto"/>
        </w:rPr>
        <w:t>1.</w:t>
      </w:r>
      <w:r>
        <w:rPr>
          <w:rFonts w:hint="eastAsia" w:asciiTheme="minorEastAsia" w:hAnsiTheme="minorEastAsia" w:eastAsiaTheme="minorEastAsia"/>
          <w:color w:val="auto"/>
        </w:rPr>
        <w:t>毕业学分修满1</w:t>
      </w:r>
      <w:r>
        <w:rPr>
          <w:rFonts w:asciiTheme="minorEastAsia" w:hAnsiTheme="minorEastAsia" w:eastAsiaTheme="minorEastAsia"/>
          <w:color w:val="auto"/>
        </w:rPr>
        <w:t>8</w:t>
      </w:r>
      <w:r>
        <w:rPr>
          <w:rFonts w:hint="eastAsia" w:asciiTheme="minorEastAsia" w:hAnsiTheme="minorEastAsia" w:eastAsiaTheme="minorEastAsia"/>
          <w:color w:val="auto"/>
        </w:rPr>
        <w:t>0学分，其中选修课学分不低于</w:t>
      </w:r>
      <w:r>
        <w:rPr>
          <w:rFonts w:asciiTheme="minorEastAsia" w:hAnsiTheme="minorEastAsia" w:eastAsiaTheme="minorEastAsia"/>
          <w:color w:val="auto"/>
        </w:rPr>
        <w:t>1</w:t>
      </w:r>
      <w:r>
        <w:rPr>
          <w:rFonts w:hint="eastAsia" w:asciiTheme="minorEastAsia" w:hAnsiTheme="minorEastAsia" w:eastAsiaTheme="minorEastAsia"/>
          <w:color w:val="auto"/>
        </w:rPr>
        <w:t>4学分。</w:t>
      </w:r>
    </w:p>
    <w:p>
      <w:pPr>
        <w:pStyle w:val="31"/>
        <w:spacing w:line="440" w:lineRule="exact"/>
        <w:ind w:left="0" w:firstLine="480" w:firstLineChars="200"/>
        <w:rPr>
          <w:rFonts w:asciiTheme="minorEastAsia" w:hAnsiTheme="minorEastAsia" w:eastAsiaTheme="minorEastAsia"/>
          <w:color w:val="auto"/>
        </w:rPr>
      </w:pPr>
      <w:r>
        <w:rPr>
          <w:rFonts w:asciiTheme="minorEastAsia" w:hAnsiTheme="minorEastAsia" w:eastAsiaTheme="minorEastAsia"/>
          <w:color w:val="auto"/>
        </w:rPr>
        <w:t>2.</w:t>
      </w:r>
      <w:r>
        <w:rPr>
          <w:rFonts w:hint="eastAsia" w:asciiTheme="minorEastAsia" w:hAnsiTheme="minorEastAsia" w:eastAsiaTheme="minorEastAsia"/>
          <w:color w:val="auto"/>
        </w:rPr>
        <w:t>必修课程（包括实践教学）的成绩全部合格. </w:t>
      </w:r>
    </w:p>
    <w:p>
      <w:pPr>
        <w:pStyle w:val="31"/>
        <w:spacing w:line="440" w:lineRule="exact"/>
        <w:ind w:left="0" w:firstLine="480" w:firstLineChars="200"/>
        <w:rPr>
          <w:rFonts w:asciiTheme="minorEastAsia" w:hAnsiTheme="minorEastAsia" w:eastAsiaTheme="minorEastAsia"/>
          <w:color w:val="auto"/>
        </w:rPr>
      </w:pPr>
      <w:r>
        <w:rPr>
          <w:rFonts w:asciiTheme="minorEastAsia" w:hAnsiTheme="minorEastAsia" w:eastAsiaTheme="minorEastAsia"/>
          <w:color w:val="auto"/>
        </w:rPr>
        <w:t>3.</w:t>
      </w:r>
      <w:r>
        <w:rPr>
          <w:rFonts w:hint="eastAsia" w:asciiTheme="minorEastAsia" w:hAnsiTheme="minorEastAsia" w:eastAsiaTheme="minorEastAsia"/>
          <w:color w:val="auto"/>
        </w:rPr>
        <w:t>参加半年以上顶岗实习并考核合格。</w:t>
      </w:r>
    </w:p>
    <w:p>
      <w:pPr>
        <w:pStyle w:val="31"/>
        <w:spacing w:line="440" w:lineRule="exact"/>
        <w:ind w:left="0" w:firstLine="480" w:firstLineChars="200"/>
        <w:rPr>
          <w:rFonts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4.根据人力资源与社会保障部国家职业资格管理规定，取得相关职业初级资格证书。</w:t>
      </w: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24"/>
        <w:spacing w:line="440" w:lineRule="exact"/>
        <w:ind w:firstLine="480"/>
        <w:rPr>
          <w:rFonts w:asciiTheme="minorEastAsia" w:hAnsiTheme="minorEastAsia" w:eastAsiaTheme="minorEastAsia"/>
          <w:sz w:val="24"/>
          <w:szCs w:val="24"/>
        </w:rPr>
        <w:sectPr>
          <w:pgSz w:w="11907" w:h="16840"/>
          <w:pgMar w:top="1440" w:right="1077" w:bottom="1440" w:left="1077" w:header="851" w:footer="851" w:gutter="0"/>
          <w:pgNumType w:fmt="numberInDash"/>
          <w:cols w:space="720" w:num="1"/>
          <w:titlePg/>
          <w:docGrid w:linePitch="297" w:charSpace="-1354"/>
        </w:sectPr>
      </w:pPr>
    </w:p>
    <w:p>
      <w:pPr>
        <w:pStyle w:val="3"/>
        <w:spacing w:line="440" w:lineRule="exact"/>
        <w:rPr>
          <w:rFonts w:ascii="黑体" w:hAnsi="黑体"/>
          <w:sz w:val="28"/>
          <w:szCs w:val="18"/>
        </w:rPr>
      </w:pPr>
      <w:bookmarkStart w:id="25" w:name="_Toc99454626"/>
      <w:r>
        <w:rPr>
          <w:rFonts w:hint="eastAsia" w:ascii="黑体" w:hAnsi="黑体"/>
          <w:sz w:val="28"/>
          <w:szCs w:val="18"/>
        </w:rPr>
        <w:t>附录</w:t>
      </w:r>
      <w:r>
        <w:rPr>
          <w:rFonts w:ascii="黑体" w:hAnsi="黑体"/>
          <w:sz w:val="28"/>
          <w:szCs w:val="18"/>
        </w:rPr>
        <w:t>：</w:t>
      </w:r>
      <w:r>
        <w:rPr>
          <w:rFonts w:hint="eastAsia" w:ascii="黑体" w:hAnsi="黑体"/>
          <w:sz w:val="28"/>
          <w:szCs w:val="18"/>
        </w:rPr>
        <w:t>中药制药专业（中专）教学进程安排表</w:t>
      </w:r>
      <w:bookmarkEnd w:id="25"/>
    </w:p>
    <w:tbl>
      <w:tblPr>
        <w:tblStyle w:val="17"/>
        <w:tblW w:w="5056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746"/>
        <w:gridCol w:w="2528"/>
        <w:gridCol w:w="728"/>
        <w:gridCol w:w="639"/>
        <w:gridCol w:w="677"/>
        <w:gridCol w:w="934"/>
        <w:gridCol w:w="710"/>
        <w:gridCol w:w="585"/>
        <w:gridCol w:w="746"/>
        <w:gridCol w:w="9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after="240" w:line="440" w:lineRule="exact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extDirection w:val="tbRlV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类别</w:t>
            </w:r>
          </w:p>
        </w:tc>
        <w:tc>
          <w:tcPr>
            <w:tcW w:w="37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337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各学期周课时安排</w:t>
            </w:r>
          </w:p>
        </w:tc>
        <w:tc>
          <w:tcPr>
            <w:tcW w:w="37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总课时数</w:t>
            </w:r>
          </w:p>
        </w:tc>
        <w:tc>
          <w:tcPr>
            <w:tcW w:w="48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占总授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课时数比例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一</w:t>
            </w: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二</w:t>
            </w: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三</w:t>
            </w: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四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五</w:t>
            </w: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六</w:t>
            </w:r>
          </w:p>
        </w:tc>
        <w:tc>
          <w:tcPr>
            <w:tcW w:w="3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48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公共基础课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  <w:szCs w:val="24"/>
              </w:rPr>
              <w:t>思想政治——职业生涯与规划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48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.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  <w:szCs w:val="24"/>
              </w:rPr>
              <w:t>思想政治——经济政治与社会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  <w:szCs w:val="24"/>
              </w:rPr>
              <w:t>思想政治——哲学与人生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>36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楷体" w:asciiTheme="minorEastAsia" w:hAnsiTheme="minorEastAsia" w:eastAsiaTheme="minorEastAsia"/>
                <w:sz w:val="24"/>
                <w:szCs w:val="24"/>
              </w:rPr>
              <w:t>思想政治——职业道德与法治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>36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语    文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180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2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英    语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180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数    学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180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信息技术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>144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体    育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 w:val="24"/>
                <w:szCs w:val="24"/>
              </w:rPr>
              <w:t>144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历    史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公共艺术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</w:trPr>
        <w:tc>
          <w:tcPr>
            <w:tcW w:w="398" w:type="pc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公共</w:t>
            </w:r>
          </w:p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选修课</w:t>
            </w:r>
          </w:p>
        </w:tc>
        <w:tc>
          <w:tcPr>
            <w:tcW w:w="370" w:type="pc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254" w:type="pc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中国传统文化</w:t>
            </w:r>
          </w:p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/革命文化/创新创业</w:t>
            </w:r>
          </w:p>
        </w:tc>
        <w:tc>
          <w:tcPr>
            <w:tcW w:w="3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54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0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D9E2F3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小计</w:t>
            </w:r>
          </w:p>
        </w:tc>
        <w:tc>
          <w:tcPr>
            <w:tcW w:w="3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3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pStyle w:val="25"/>
              <w:spacing w:line="440" w:lineRule="exact"/>
              <w:jc w:val="both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asciiTheme="minorEastAsia" w:hAnsiTheme="minorEastAsia" w:eastAsiaTheme="minorEastAsia"/>
                <w:color w:val="auto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116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专业核心课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t>药用化学基础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144</w:t>
            </w:r>
          </w:p>
        </w:tc>
        <w:tc>
          <w:tcPr>
            <w:tcW w:w="48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40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.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6%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楷体" w:asciiTheme="minorEastAsia" w:hAnsiTheme="minorEastAsia"/>
                <w:szCs w:val="24"/>
              </w:rPr>
              <w:t>人体解剖生理学基础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72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t>中医基础理论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2</w:t>
            </w: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t>药用植物学基础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2</w:t>
            </w: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t>微生物学基础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2</w:t>
            </w: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t>中药学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4</w:t>
            </w: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72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t>药品储存与养护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2</w:t>
            </w: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</w:pPr>
            <w:r>
              <w:t>中药化学实用技术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4</w:t>
            </w: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72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</w:pPr>
            <w:r>
              <w:t>方剂学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3</w:t>
            </w: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54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</w:pPr>
            <w:r>
              <w:t>中药药理学基础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3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54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</w:pPr>
            <w:r>
              <w:t>药事法规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2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t>药品生产质量管理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2</w:t>
            </w: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39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textDirection w:val="tbRlV"/>
            <w:vAlign w:val="center"/>
          </w:tcPr>
          <w:p>
            <w:pPr>
              <w:widowControl/>
              <w:spacing w:line="44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专业（技能）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方向课</w:t>
            </w:r>
          </w:p>
        </w:tc>
        <w:tc>
          <w:tcPr>
            <w:tcW w:w="3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t>中药鉴定技术</w:t>
            </w:r>
          </w:p>
        </w:tc>
        <w:tc>
          <w:tcPr>
            <w:tcW w:w="3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4</w:t>
            </w: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2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72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398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textDirection w:val="tbRlV"/>
            <w:vAlign w:val="center"/>
          </w:tcPr>
          <w:p>
            <w:pPr>
              <w:widowControl/>
              <w:spacing w:line="44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12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</w:pPr>
            <w:r>
              <w:t>中药制剂辅料与包装材料</w:t>
            </w:r>
          </w:p>
        </w:tc>
        <w:tc>
          <w:tcPr>
            <w:tcW w:w="3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2</w:t>
            </w: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2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12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t>中药制剂技术</w:t>
            </w:r>
            <w:r>
              <w:rPr>
                <w:rFonts w:hint="eastAsia"/>
              </w:rPr>
              <w:t>（参赛课程）</w:t>
            </w:r>
          </w:p>
        </w:tc>
        <w:tc>
          <w:tcPr>
            <w:tcW w:w="3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asciiTheme="minorEastAsia" w:hAnsiTheme="minorEastAsia" w:eastAsiaTheme="minorEastAsia"/>
                <w:color w:val="auto"/>
              </w:rPr>
              <w:t>8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2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</w:t>
            </w:r>
            <w:r>
              <w:rPr>
                <w:rFonts w:cs="宋体" w:asciiTheme="minorEastAsia" w:hAnsiTheme="minorEastAsia" w:eastAsiaTheme="minorEastAsia"/>
                <w:szCs w:val="21"/>
              </w:rPr>
              <w:t>44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12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t>中成药学</w:t>
            </w:r>
          </w:p>
        </w:tc>
        <w:tc>
          <w:tcPr>
            <w:tcW w:w="3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2</w:t>
            </w:r>
          </w:p>
        </w:tc>
        <w:tc>
          <w:tcPr>
            <w:tcW w:w="2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t>中药制剂分析基础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2</w:t>
            </w: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36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t>安全与生产操作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1</w:t>
            </w: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18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398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spacing w:line="440" w:lineRule="exact"/>
              <w:ind w:right="113" w:firstLine="100" w:firstLineChars="50"/>
              <w:jc w:val="center"/>
              <w:rPr>
                <w:rFonts w:cs="宋体" w:asciiTheme="minorEastAsia" w:hAnsiTheme="minorEastAsia" w:eastAsiaTheme="minorEastAsia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-20"/>
                <w:kern w:val="0"/>
                <w:sz w:val="24"/>
                <w:szCs w:val="24"/>
              </w:rPr>
              <w:t>专业选修课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</w:rPr>
              <w:t>人际沟通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spacing w:line="440" w:lineRule="exact"/>
              <w:ind w:right="113" w:firstLine="100" w:firstLineChars="50"/>
              <w:jc w:val="center"/>
              <w:rPr>
                <w:rFonts w:cs="宋体" w:asciiTheme="minorEastAsia" w:hAnsiTheme="minorEastAsia" w:eastAsiaTheme="minorEastAsia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</w:rPr>
              <w:t>药品市场营销学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72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spacing w:line="440" w:lineRule="exact"/>
              <w:ind w:right="113" w:firstLine="100" w:firstLineChars="50"/>
              <w:jc w:val="center"/>
              <w:rPr>
                <w:rFonts w:cs="宋体" w:asciiTheme="minorEastAsia" w:hAnsiTheme="minorEastAsia" w:eastAsiaTheme="minorEastAsia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</w:rPr>
              <w:t>生物化学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7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spacing w:line="440" w:lineRule="exact"/>
              <w:ind w:right="113" w:firstLine="100" w:firstLineChars="50"/>
              <w:jc w:val="center"/>
              <w:rPr>
                <w:rFonts w:cs="宋体" w:asciiTheme="minorEastAsia" w:hAnsiTheme="minorEastAsia" w:eastAsiaTheme="minorEastAsia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t>医药商品学</w:t>
            </w:r>
          </w:p>
        </w:tc>
        <w:tc>
          <w:tcPr>
            <w:tcW w:w="3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48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spacing w:line="440" w:lineRule="exact"/>
              <w:ind w:right="113" w:firstLine="100" w:firstLineChars="50"/>
              <w:jc w:val="center"/>
              <w:rPr>
                <w:rFonts w:cs="宋体" w:asciiTheme="minorEastAsia" w:hAnsiTheme="minorEastAsia" w:eastAsiaTheme="minorEastAsia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t>中药炮制技术</w:t>
            </w:r>
          </w:p>
        </w:tc>
        <w:tc>
          <w:tcPr>
            <w:tcW w:w="3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spacing w:line="44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12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</w:rPr>
              <w:t>环境保护与节能排放</w:t>
            </w:r>
          </w:p>
        </w:tc>
        <w:tc>
          <w:tcPr>
            <w:tcW w:w="3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9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36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0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D9E2F3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小   计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314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398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spacing w:line="44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  <w:szCs w:val="24"/>
              </w:rPr>
              <w:t>综合实践课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综合实训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15</w:t>
            </w: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270</w:t>
            </w:r>
          </w:p>
        </w:tc>
        <w:tc>
          <w:tcPr>
            <w:tcW w:w="489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25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.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7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顶岗实习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30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540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0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小   计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81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489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0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教学课时总计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3240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E2F3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100.00%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0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公共基础总课时</w:t>
            </w:r>
          </w:p>
        </w:tc>
        <w:tc>
          <w:tcPr>
            <w:tcW w:w="2119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062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32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.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8%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0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实 践 总 课 时</w:t>
            </w:r>
          </w:p>
        </w:tc>
        <w:tc>
          <w:tcPr>
            <w:tcW w:w="2119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836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56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.6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02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选 修 总 课 时</w:t>
            </w:r>
          </w:p>
        </w:tc>
        <w:tc>
          <w:tcPr>
            <w:tcW w:w="2119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0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.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6%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9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extDirection w:val="tbRlV"/>
            <w:vAlign w:val="center"/>
          </w:tcPr>
          <w:p>
            <w:pPr>
              <w:widowControl/>
              <w:spacing w:line="440" w:lineRule="exact"/>
              <w:ind w:left="113" w:right="113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教学活动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复习考试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3</w:t>
            </w:r>
            <w:r>
              <w:rPr>
                <w:rFonts w:asciiTheme="minorEastAsia" w:hAnsiTheme="minorEastAsia" w:eastAsiaTheme="minorEastAsia"/>
                <w:color w:val="auto"/>
              </w:rPr>
              <w:t>0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*1</w:t>
            </w: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3</w:t>
            </w:r>
            <w:r>
              <w:rPr>
                <w:rFonts w:asciiTheme="minorEastAsia" w:hAnsiTheme="minorEastAsia" w:eastAsiaTheme="minorEastAsia"/>
                <w:color w:val="auto"/>
              </w:rPr>
              <w:t>0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*1</w:t>
            </w: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3</w:t>
            </w:r>
            <w:r>
              <w:rPr>
                <w:rFonts w:asciiTheme="minorEastAsia" w:hAnsiTheme="minorEastAsia" w:eastAsiaTheme="minorEastAsia"/>
                <w:color w:val="auto"/>
              </w:rPr>
              <w:t>0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*1</w:t>
            </w: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3</w:t>
            </w:r>
            <w:r>
              <w:rPr>
                <w:rFonts w:asciiTheme="minorEastAsia" w:hAnsiTheme="minorEastAsia" w:eastAsiaTheme="minorEastAsia"/>
                <w:color w:val="auto"/>
              </w:rPr>
              <w:t>0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*1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  <w:r>
              <w:rPr>
                <w:rFonts w:asciiTheme="minorEastAsia" w:hAnsiTheme="minorEastAsia" w:eastAsiaTheme="minorEastAsia"/>
              </w:rPr>
              <w:t>0</w:t>
            </w:r>
            <w:r>
              <w:rPr>
                <w:rFonts w:hint="eastAsia" w:asciiTheme="minorEastAsia" w:hAnsiTheme="minorEastAsia" w:eastAsiaTheme="minorEastAsia"/>
              </w:rPr>
              <w:t>*1</w:t>
            </w: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5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39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12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认知实习/社会实践</w:t>
            </w:r>
          </w:p>
        </w:tc>
        <w:tc>
          <w:tcPr>
            <w:tcW w:w="3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3</w:t>
            </w:r>
            <w:r>
              <w:rPr>
                <w:rFonts w:asciiTheme="minorEastAsia" w:hAnsiTheme="minorEastAsia" w:eastAsiaTheme="minorEastAsia"/>
                <w:color w:val="auto"/>
              </w:rPr>
              <w:t>0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*1</w:t>
            </w:r>
          </w:p>
        </w:tc>
        <w:tc>
          <w:tcPr>
            <w:tcW w:w="3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3</w:t>
            </w:r>
            <w:r>
              <w:rPr>
                <w:rFonts w:asciiTheme="minorEastAsia" w:hAnsiTheme="minorEastAsia" w:eastAsiaTheme="minorEastAsia"/>
                <w:color w:val="auto"/>
              </w:rPr>
              <w:t>0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*1</w:t>
            </w:r>
          </w:p>
        </w:tc>
        <w:tc>
          <w:tcPr>
            <w:tcW w:w="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3</w:t>
            </w:r>
            <w:r>
              <w:rPr>
                <w:rFonts w:asciiTheme="minorEastAsia" w:hAnsiTheme="minorEastAsia" w:eastAsiaTheme="minorEastAsia"/>
                <w:color w:val="auto"/>
              </w:rPr>
              <w:t>0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*1</w:t>
            </w:r>
          </w:p>
        </w:tc>
        <w:tc>
          <w:tcPr>
            <w:tcW w:w="4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pStyle w:val="25"/>
              <w:spacing w:line="440" w:lineRule="exact"/>
              <w:rPr>
                <w:rFonts w:asciiTheme="minorEastAsia" w:hAnsiTheme="minorEastAsia" w:eastAsia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/>
                <w:color w:val="auto"/>
              </w:rPr>
              <w:t>3</w:t>
            </w:r>
            <w:r>
              <w:rPr>
                <w:rFonts w:asciiTheme="minorEastAsia" w:hAnsiTheme="minorEastAsia" w:eastAsiaTheme="minorEastAsia"/>
                <w:color w:val="auto"/>
              </w:rPr>
              <w:t>0</w:t>
            </w:r>
            <w:r>
              <w:rPr>
                <w:rFonts w:hint="eastAsia" w:asciiTheme="minorEastAsia" w:hAnsiTheme="minorEastAsia" w:eastAsiaTheme="minorEastAsia"/>
                <w:color w:val="auto"/>
              </w:rPr>
              <w:t>*1</w:t>
            </w:r>
          </w:p>
        </w:tc>
        <w:tc>
          <w:tcPr>
            <w:tcW w:w="3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</w:tbl>
    <w:p>
      <w:pPr>
        <w:pStyle w:val="24"/>
        <w:spacing w:line="440" w:lineRule="exact"/>
        <w:ind w:firstLine="480"/>
        <w:jc w:val="center"/>
        <w:rPr>
          <w:rFonts w:asciiTheme="minorEastAsia" w:hAnsiTheme="minorEastAsia" w:eastAsiaTheme="minorEastAsia"/>
          <w:sz w:val="24"/>
          <w:szCs w:val="24"/>
        </w:rPr>
        <w:sectPr>
          <w:pgSz w:w="11907" w:h="16840"/>
          <w:pgMar w:top="1440" w:right="1077" w:bottom="1440" w:left="1077" w:header="851" w:footer="851" w:gutter="0"/>
          <w:pgNumType w:fmt="numberInDash"/>
          <w:cols w:space="720" w:num="1"/>
          <w:titlePg/>
          <w:docGrid w:linePitch="297" w:charSpace="-1354"/>
        </w:sectPr>
      </w:pPr>
    </w:p>
    <w:p>
      <w:pPr>
        <w:pStyle w:val="3"/>
        <w:spacing w:line="440" w:lineRule="exact"/>
        <w:rPr>
          <w:rFonts w:ascii="黑体" w:hAnsi="黑体"/>
          <w:sz w:val="28"/>
          <w:szCs w:val="18"/>
        </w:rPr>
      </w:pPr>
      <w:bookmarkStart w:id="26" w:name="_Toc99454627"/>
      <w:r>
        <w:rPr>
          <w:rFonts w:hint="eastAsia" w:ascii="黑体" w:hAnsi="黑体"/>
          <w:sz w:val="28"/>
          <w:szCs w:val="18"/>
        </w:rPr>
        <w:t>附件1：人才培养方案变更审批表</w:t>
      </w:r>
      <w:bookmarkEnd w:id="26"/>
    </w:p>
    <w:p>
      <w:r>
        <w:drawing>
          <wp:inline distT="0" distB="0" distL="0" distR="0">
            <wp:extent cx="6193155" cy="825436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3155" cy="825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line="440" w:lineRule="exact"/>
        <w:rPr>
          <w:rFonts w:ascii="黑体" w:hAnsi="黑体"/>
          <w:sz w:val="28"/>
          <w:szCs w:val="18"/>
        </w:rPr>
      </w:pPr>
      <w:bookmarkStart w:id="27" w:name="_Toc99454628"/>
      <w:r>
        <w:rPr>
          <w:rFonts w:hint="eastAsia" w:ascii="黑体" w:hAnsi="黑体"/>
          <w:sz w:val="28"/>
          <w:szCs w:val="18"/>
        </w:rPr>
        <w:t>附件</w:t>
      </w:r>
      <w:r>
        <w:rPr>
          <w:rFonts w:ascii="黑体" w:hAnsi="黑体"/>
          <w:sz w:val="28"/>
          <w:szCs w:val="18"/>
        </w:rPr>
        <w:t>2</w:t>
      </w:r>
      <w:r>
        <w:rPr>
          <w:rFonts w:hint="eastAsia" w:ascii="黑体" w:hAnsi="黑体"/>
          <w:sz w:val="28"/>
          <w:szCs w:val="18"/>
        </w:rPr>
        <w:t>：人才培养方案审定文件</w:t>
      </w:r>
      <w:bookmarkEnd w:id="27"/>
    </w:p>
    <w:p>
      <w:r>
        <w:drawing>
          <wp:inline distT="0" distB="0" distL="0" distR="0">
            <wp:extent cx="6193155" cy="7249160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3155" cy="724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732780" cy="7877810"/>
            <wp:effectExtent l="0" t="0" r="127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2780" cy="787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40"/>
      <w:pgMar w:top="1440" w:right="1077" w:bottom="1440" w:left="1077" w:header="851" w:footer="851" w:gutter="0"/>
      <w:pgNumType w:fmt="numberInDash"/>
      <w:cols w:space="720" w:num="1"/>
      <w:titlePg/>
      <w:docGrid w:linePitch="297" w:charSpace="-1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70343069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5 -</w:t>
        </w:r>
        <w:r>
          <w:fldChar w:fldCharType="end"/>
        </w:r>
      </w:p>
    </w:sdtContent>
  </w:sdt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tabs>
        <w:tab w:val="left" w:pos="7430"/>
        <w:tab w:val="clear" w:pos="4153"/>
        <w:tab w:val="clear" w:pos="8306"/>
      </w:tabs>
      <w:jc w:val="both"/>
    </w:pPr>
    <w:r>
      <w:rPr>
        <w:rFonts w:ascii="黑体" w:hAnsi="黑体" w:eastAsia="黑体"/>
        <w:szCs w:val="21"/>
      </w:rPr>
      <w:tab/>
    </w:r>
    <w:r>
      <w:rPr>
        <w:rFonts w:hint="eastAsia" w:ascii="黑体" w:hAnsi="黑体" w:eastAsia="黑体"/>
        <w:szCs w:val="21"/>
      </w:rPr>
      <w:t>中药制药专业人才培养方案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tabs>
        <w:tab w:val="left" w:pos="7430"/>
        <w:tab w:val="clear" w:pos="4153"/>
        <w:tab w:val="clear" w:pos="8306"/>
      </w:tabs>
      <w:jc w:val="both"/>
    </w:pPr>
    <w:r>
      <w:rPr>
        <w:rFonts w:ascii="黑体" w:hAnsi="黑体" w:eastAsia="黑体"/>
        <w:szCs w:val="21"/>
      </w:rPr>
      <w:tab/>
    </w:r>
    <w:r>
      <w:rPr>
        <w:rFonts w:hint="eastAsia" w:ascii="黑体" w:hAnsi="黑体" w:eastAsia="黑体"/>
        <w:szCs w:val="21"/>
      </w:rPr>
      <w:t>中药制药专业人才培养方案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B9711D"/>
    <w:multiLevelType w:val="singleLevel"/>
    <w:tmpl w:val="9CB9711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B5685456"/>
    <w:multiLevelType w:val="singleLevel"/>
    <w:tmpl w:val="B568545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058D23F2"/>
    <w:multiLevelType w:val="multilevel"/>
    <w:tmpl w:val="058D23F2"/>
    <w:lvl w:ilvl="0" w:tentative="0">
      <w:start w:val="1"/>
      <w:numFmt w:val="japaneseCounting"/>
      <w:pStyle w:val="29"/>
      <w:lvlText w:val="%1、"/>
      <w:lvlJc w:val="left"/>
      <w:pPr>
        <w:ind w:left="2422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266" w:hanging="420"/>
      </w:pPr>
    </w:lvl>
    <w:lvl w:ilvl="2" w:tentative="0">
      <w:start w:val="1"/>
      <w:numFmt w:val="lowerRoman"/>
      <w:lvlText w:val="%3."/>
      <w:lvlJc w:val="right"/>
      <w:pPr>
        <w:ind w:left="1686" w:hanging="420"/>
      </w:pPr>
    </w:lvl>
    <w:lvl w:ilvl="3" w:tentative="0">
      <w:start w:val="1"/>
      <w:numFmt w:val="decimal"/>
      <w:lvlText w:val="%4."/>
      <w:lvlJc w:val="left"/>
      <w:pPr>
        <w:ind w:left="2106" w:hanging="420"/>
      </w:pPr>
    </w:lvl>
    <w:lvl w:ilvl="4" w:tentative="0">
      <w:start w:val="1"/>
      <w:numFmt w:val="lowerLetter"/>
      <w:lvlText w:val="%5)"/>
      <w:lvlJc w:val="left"/>
      <w:pPr>
        <w:ind w:left="2526" w:hanging="420"/>
      </w:pPr>
    </w:lvl>
    <w:lvl w:ilvl="5" w:tentative="0">
      <w:start w:val="1"/>
      <w:numFmt w:val="lowerRoman"/>
      <w:lvlText w:val="%6."/>
      <w:lvlJc w:val="right"/>
      <w:pPr>
        <w:ind w:left="2946" w:hanging="420"/>
      </w:pPr>
    </w:lvl>
    <w:lvl w:ilvl="6" w:tentative="0">
      <w:start w:val="1"/>
      <w:numFmt w:val="decimal"/>
      <w:lvlText w:val="%7."/>
      <w:lvlJc w:val="left"/>
      <w:pPr>
        <w:ind w:left="3366" w:hanging="420"/>
      </w:pPr>
    </w:lvl>
    <w:lvl w:ilvl="7" w:tentative="0">
      <w:start w:val="1"/>
      <w:numFmt w:val="lowerLetter"/>
      <w:lvlText w:val="%8)"/>
      <w:lvlJc w:val="left"/>
      <w:pPr>
        <w:ind w:left="3786" w:hanging="420"/>
      </w:pPr>
    </w:lvl>
    <w:lvl w:ilvl="8" w:tentative="0">
      <w:start w:val="1"/>
      <w:numFmt w:val="lowerRoman"/>
      <w:lvlText w:val="%9."/>
      <w:lvlJc w:val="right"/>
      <w:pPr>
        <w:ind w:left="4206" w:hanging="420"/>
      </w:pPr>
    </w:lvl>
  </w:abstractNum>
  <w:abstractNum w:abstractNumId="3">
    <w:nsid w:val="1246E119"/>
    <w:multiLevelType w:val="singleLevel"/>
    <w:tmpl w:val="1246E119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>
    <w:nsid w:val="3D467153"/>
    <w:multiLevelType w:val="multilevel"/>
    <w:tmpl w:val="3D467153"/>
    <w:lvl w:ilvl="0" w:tentative="0">
      <w:start w:val="1"/>
      <w:numFmt w:val="bullet"/>
      <w:lvlText w:val=""/>
      <w:lvlJc w:val="left"/>
      <w:pPr>
        <w:ind w:left="887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07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2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4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6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8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0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2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47" w:hanging="420"/>
      </w:pPr>
      <w:rPr>
        <w:rFonts w:hint="default" w:ascii="Wingdings" w:hAnsi="Wingdings"/>
      </w:rPr>
    </w:lvl>
  </w:abstractNum>
  <w:abstractNum w:abstractNumId="5">
    <w:nsid w:val="5951F4BE"/>
    <w:multiLevelType w:val="singleLevel"/>
    <w:tmpl w:val="5951F4BE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6">
    <w:nsid w:val="641B35F5"/>
    <w:multiLevelType w:val="multilevel"/>
    <w:tmpl w:val="641B35F5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82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743556E1"/>
    <w:multiLevelType w:val="multilevel"/>
    <w:tmpl w:val="743556E1"/>
    <w:lvl w:ilvl="0" w:tentative="0">
      <w:start w:val="1"/>
      <w:numFmt w:val="bullet"/>
      <w:lvlText w:val=""/>
      <w:lvlJc w:val="left"/>
      <w:pPr>
        <w:ind w:left="887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07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2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4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6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8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0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2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47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203"/>
  <w:drawingGridVerticalSpacing w:val="297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FC8"/>
    <w:rsid w:val="00005EFF"/>
    <w:rsid w:val="00010AF3"/>
    <w:rsid w:val="00010F18"/>
    <w:rsid w:val="000113DB"/>
    <w:rsid w:val="0001234A"/>
    <w:rsid w:val="00012BD4"/>
    <w:rsid w:val="00013CBA"/>
    <w:rsid w:val="00014492"/>
    <w:rsid w:val="00014A45"/>
    <w:rsid w:val="00015784"/>
    <w:rsid w:val="00015A96"/>
    <w:rsid w:val="00015FE1"/>
    <w:rsid w:val="000171E0"/>
    <w:rsid w:val="000202C1"/>
    <w:rsid w:val="00020597"/>
    <w:rsid w:val="000234DE"/>
    <w:rsid w:val="0002694A"/>
    <w:rsid w:val="00027A75"/>
    <w:rsid w:val="000303B8"/>
    <w:rsid w:val="00030AE2"/>
    <w:rsid w:val="000318C0"/>
    <w:rsid w:val="0003461A"/>
    <w:rsid w:val="0003594B"/>
    <w:rsid w:val="00035A5F"/>
    <w:rsid w:val="000360F2"/>
    <w:rsid w:val="0003761D"/>
    <w:rsid w:val="000418E2"/>
    <w:rsid w:val="00042AA2"/>
    <w:rsid w:val="00042C0D"/>
    <w:rsid w:val="0004494B"/>
    <w:rsid w:val="00045E20"/>
    <w:rsid w:val="00047408"/>
    <w:rsid w:val="00047CCE"/>
    <w:rsid w:val="0005273D"/>
    <w:rsid w:val="00052FB2"/>
    <w:rsid w:val="000537EE"/>
    <w:rsid w:val="00055075"/>
    <w:rsid w:val="00055F52"/>
    <w:rsid w:val="000577D5"/>
    <w:rsid w:val="000605DE"/>
    <w:rsid w:val="00062BFA"/>
    <w:rsid w:val="00062DF1"/>
    <w:rsid w:val="00063548"/>
    <w:rsid w:val="000635A8"/>
    <w:rsid w:val="00063C58"/>
    <w:rsid w:val="00063D82"/>
    <w:rsid w:val="00064503"/>
    <w:rsid w:val="00064DC4"/>
    <w:rsid w:val="0006586E"/>
    <w:rsid w:val="00070237"/>
    <w:rsid w:val="00070A87"/>
    <w:rsid w:val="00071E96"/>
    <w:rsid w:val="00072FD8"/>
    <w:rsid w:val="0007552D"/>
    <w:rsid w:val="00076525"/>
    <w:rsid w:val="00076615"/>
    <w:rsid w:val="00076981"/>
    <w:rsid w:val="00077201"/>
    <w:rsid w:val="0008061F"/>
    <w:rsid w:val="00082F8B"/>
    <w:rsid w:val="0008365B"/>
    <w:rsid w:val="00083A28"/>
    <w:rsid w:val="000852E1"/>
    <w:rsid w:val="00085FBE"/>
    <w:rsid w:val="00086309"/>
    <w:rsid w:val="000867DC"/>
    <w:rsid w:val="000872CD"/>
    <w:rsid w:val="00087C0D"/>
    <w:rsid w:val="000907E4"/>
    <w:rsid w:val="00090F3A"/>
    <w:rsid w:val="000925BA"/>
    <w:rsid w:val="000936B9"/>
    <w:rsid w:val="00095038"/>
    <w:rsid w:val="000952A3"/>
    <w:rsid w:val="0009660C"/>
    <w:rsid w:val="00096796"/>
    <w:rsid w:val="0009763A"/>
    <w:rsid w:val="000A2800"/>
    <w:rsid w:val="000A3173"/>
    <w:rsid w:val="000A67B8"/>
    <w:rsid w:val="000A6957"/>
    <w:rsid w:val="000A6BCE"/>
    <w:rsid w:val="000A77F2"/>
    <w:rsid w:val="000A7A30"/>
    <w:rsid w:val="000B0CA6"/>
    <w:rsid w:val="000B0E29"/>
    <w:rsid w:val="000B3B4D"/>
    <w:rsid w:val="000B66F4"/>
    <w:rsid w:val="000B6CAC"/>
    <w:rsid w:val="000C1980"/>
    <w:rsid w:val="000C1F5F"/>
    <w:rsid w:val="000C33B4"/>
    <w:rsid w:val="000C34BE"/>
    <w:rsid w:val="000C3A6E"/>
    <w:rsid w:val="000D0ABA"/>
    <w:rsid w:val="000D4609"/>
    <w:rsid w:val="000D4D11"/>
    <w:rsid w:val="000D5820"/>
    <w:rsid w:val="000D7E6D"/>
    <w:rsid w:val="000E046D"/>
    <w:rsid w:val="000E2FAC"/>
    <w:rsid w:val="000E30BB"/>
    <w:rsid w:val="000E34B9"/>
    <w:rsid w:val="000E4968"/>
    <w:rsid w:val="000F0B67"/>
    <w:rsid w:val="000F3CDC"/>
    <w:rsid w:val="000F403B"/>
    <w:rsid w:val="000F54D2"/>
    <w:rsid w:val="000F56A5"/>
    <w:rsid w:val="000F56AA"/>
    <w:rsid w:val="000F6E94"/>
    <w:rsid w:val="00101178"/>
    <w:rsid w:val="00101477"/>
    <w:rsid w:val="001018D4"/>
    <w:rsid w:val="00101DD4"/>
    <w:rsid w:val="00103258"/>
    <w:rsid w:val="001039DA"/>
    <w:rsid w:val="00104823"/>
    <w:rsid w:val="00105058"/>
    <w:rsid w:val="001055C8"/>
    <w:rsid w:val="0010603D"/>
    <w:rsid w:val="00106AC1"/>
    <w:rsid w:val="001077DD"/>
    <w:rsid w:val="00111080"/>
    <w:rsid w:val="00111390"/>
    <w:rsid w:val="0011269D"/>
    <w:rsid w:val="001135B6"/>
    <w:rsid w:val="00115B8B"/>
    <w:rsid w:val="00120AD3"/>
    <w:rsid w:val="00121AE8"/>
    <w:rsid w:val="0012216A"/>
    <w:rsid w:val="00122507"/>
    <w:rsid w:val="00125FBA"/>
    <w:rsid w:val="00132647"/>
    <w:rsid w:val="00132CA8"/>
    <w:rsid w:val="00133420"/>
    <w:rsid w:val="0013391E"/>
    <w:rsid w:val="00133D9A"/>
    <w:rsid w:val="001345FB"/>
    <w:rsid w:val="001350F3"/>
    <w:rsid w:val="001353C4"/>
    <w:rsid w:val="00135EA7"/>
    <w:rsid w:val="0013706B"/>
    <w:rsid w:val="00140DD5"/>
    <w:rsid w:val="0014279D"/>
    <w:rsid w:val="00144BCF"/>
    <w:rsid w:val="00145A00"/>
    <w:rsid w:val="00150107"/>
    <w:rsid w:val="00151781"/>
    <w:rsid w:val="00151BBE"/>
    <w:rsid w:val="00151D45"/>
    <w:rsid w:val="0015205C"/>
    <w:rsid w:val="0015506C"/>
    <w:rsid w:val="00155C1E"/>
    <w:rsid w:val="001560F8"/>
    <w:rsid w:val="00156314"/>
    <w:rsid w:val="001575B2"/>
    <w:rsid w:val="00157F72"/>
    <w:rsid w:val="00160670"/>
    <w:rsid w:val="00160742"/>
    <w:rsid w:val="00161A60"/>
    <w:rsid w:val="00162761"/>
    <w:rsid w:val="0016522D"/>
    <w:rsid w:val="00165814"/>
    <w:rsid w:val="00166906"/>
    <w:rsid w:val="001669F4"/>
    <w:rsid w:val="0016784D"/>
    <w:rsid w:val="00167FAC"/>
    <w:rsid w:val="00172A27"/>
    <w:rsid w:val="00172DF0"/>
    <w:rsid w:val="00174669"/>
    <w:rsid w:val="0017473B"/>
    <w:rsid w:val="001758CF"/>
    <w:rsid w:val="0017597E"/>
    <w:rsid w:val="00177D1C"/>
    <w:rsid w:val="001802CD"/>
    <w:rsid w:val="00181C91"/>
    <w:rsid w:val="001820E9"/>
    <w:rsid w:val="001831C5"/>
    <w:rsid w:val="001837A9"/>
    <w:rsid w:val="001842CB"/>
    <w:rsid w:val="00185470"/>
    <w:rsid w:val="0018590E"/>
    <w:rsid w:val="00185E47"/>
    <w:rsid w:val="0019028E"/>
    <w:rsid w:val="00195ED4"/>
    <w:rsid w:val="00195F0B"/>
    <w:rsid w:val="00196D61"/>
    <w:rsid w:val="00196DA5"/>
    <w:rsid w:val="001A0C00"/>
    <w:rsid w:val="001A456E"/>
    <w:rsid w:val="001A509F"/>
    <w:rsid w:val="001A60B6"/>
    <w:rsid w:val="001A74C8"/>
    <w:rsid w:val="001A77F9"/>
    <w:rsid w:val="001B0542"/>
    <w:rsid w:val="001B0616"/>
    <w:rsid w:val="001B0720"/>
    <w:rsid w:val="001B07EC"/>
    <w:rsid w:val="001B18E8"/>
    <w:rsid w:val="001B2A30"/>
    <w:rsid w:val="001B2CF1"/>
    <w:rsid w:val="001B301E"/>
    <w:rsid w:val="001B31E5"/>
    <w:rsid w:val="001B44EA"/>
    <w:rsid w:val="001B467A"/>
    <w:rsid w:val="001B4899"/>
    <w:rsid w:val="001B4C5C"/>
    <w:rsid w:val="001B53B7"/>
    <w:rsid w:val="001B643A"/>
    <w:rsid w:val="001C1CD9"/>
    <w:rsid w:val="001C24E2"/>
    <w:rsid w:val="001C3B8A"/>
    <w:rsid w:val="001C44FF"/>
    <w:rsid w:val="001C5339"/>
    <w:rsid w:val="001C53C1"/>
    <w:rsid w:val="001C66A9"/>
    <w:rsid w:val="001C7E3F"/>
    <w:rsid w:val="001D0BDC"/>
    <w:rsid w:val="001D0EFE"/>
    <w:rsid w:val="001D0FBC"/>
    <w:rsid w:val="001D20FC"/>
    <w:rsid w:val="001D237C"/>
    <w:rsid w:val="001D392C"/>
    <w:rsid w:val="001D54F5"/>
    <w:rsid w:val="001D5AEB"/>
    <w:rsid w:val="001E0477"/>
    <w:rsid w:val="001E0884"/>
    <w:rsid w:val="001E3593"/>
    <w:rsid w:val="001E4FAA"/>
    <w:rsid w:val="001E59A8"/>
    <w:rsid w:val="001E5AC1"/>
    <w:rsid w:val="001E5C4C"/>
    <w:rsid w:val="001E6BA6"/>
    <w:rsid w:val="001E6D22"/>
    <w:rsid w:val="001E6FBA"/>
    <w:rsid w:val="001F0057"/>
    <w:rsid w:val="001F090C"/>
    <w:rsid w:val="001F0985"/>
    <w:rsid w:val="001F0E63"/>
    <w:rsid w:val="001F1E47"/>
    <w:rsid w:val="001F2959"/>
    <w:rsid w:val="001F3C6F"/>
    <w:rsid w:val="001F46A9"/>
    <w:rsid w:val="001F5AA7"/>
    <w:rsid w:val="001F790C"/>
    <w:rsid w:val="001F7FB9"/>
    <w:rsid w:val="0020020A"/>
    <w:rsid w:val="002007F0"/>
    <w:rsid w:val="002013F7"/>
    <w:rsid w:val="0020170F"/>
    <w:rsid w:val="002022A7"/>
    <w:rsid w:val="00202EB9"/>
    <w:rsid w:val="0020322E"/>
    <w:rsid w:val="00203E05"/>
    <w:rsid w:val="00203EDB"/>
    <w:rsid w:val="002043AE"/>
    <w:rsid w:val="00204963"/>
    <w:rsid w:val="00204B05"/>
    <w:rsid w:val="00204C20"/>
    <w:rsid w:val="00206213"/>
    <w:rsid w:val="00206415"/>
    <w:rsid w:val="00211770"/>
    <w:rsid w:val="002117BB"/>
    <w:rsid w:val="00212B09"/>
    <w:rsid w:val="00213A0F"/>
    <w:rsid w:val="002143A7"/>
    <w:rsid w:val="00214615"/>
    <w:rsid w:val="00214716"/>
    <w:rsid w:val="002164BD"/>
    <w:rsid w:val="00217127"/>
    <w:rsid w:val="00220F22"/>
    <w:rsid w:val="00221926"/>
    <w:rsid w:val="002242F0"/>
    <w:rsid w:val="00225114"/>
    <w:rsid w:val="00231535"/>
    <w:rsid w:val="00232563"/>
    <w:rsid w:val="00232BA8"/>
    <w:rsid w:val="002346A9"/>
    <w:rsid w:val="00235185"/>
    <w:rsid w:val="002361A3"/>
    <w:rsid w:val="002365DF"/>
    <w:rsid w:val="0023675B"/>
    <w:rsid w:val="00237070"/>
    <w:rsid w:val="00237A00"/>
    <w:rsid w:val="00237F7C"/>
    <w:rsid w:val="00241669"/>
    <w:rsid w:val="00242160"/>
    <w:rsid w:val="0024262F"/>
    <w:rsid w:val="00246A9E"/>
    <w:rsid w:val="00247A93"/>
    <w:rsid w:val="00251092"/>
    <w:rsid w:val="0025158A"/>
    <w:rsid w:val="00254D33"/>
    <w:rsid w:val="00255BD5"/>
    <w:rsid w:val="0025631C"/>
    <w:rsid w:val="00256C19"/>
    <w:rsid w:val="00257B9F"/>
    <w:rsid w:val="002602E4"/>
    <w:rsid w:val="002610DE"/>
    <w:rsid w:val="002618E5"/>
    <w:rsid w:val="00262489"/>
    <w:rsid w:val="00262F45"/>
    <w:rsid w:val="00264CD9"/>
    <w:rsid w:val="00265447"/>
    <w:rsid w:val="00265CB9"/>
    <w:rsid w:val="002663EC"/>
    <w:rsid w:val="002679D1"/>
    <w:rsid w:val="00267FA0"/>
    <w:rsid w:val="00271644"/>
    <w:rsid w:val="00271AE1"/>
    <w:rsid w:val="0027375C"/>
    <w:rsid w:val="00274D55"/>
    <w:rsid w:val="002753C3"/>
    <w:rsid w:val="00275841"/>
    <w:rsid w:val="00276C15"/>
    <w:rsid w:val="002772C0"/>
    <w:rsid w:val="0028061A"/>
    <w:rsid w:val="00282188"/>
    <w:rsid w:val="00286914"/>
    <w:rsid w:val="00286C8C"/>
    <w:rsid w:val="00286E5C"/>
    <w:rsid w:val="00290450"/>
    <w:rsid w:val="00290640"/>
    <w:rsid w:val="00292686"/>
    <w:rsid w:val="0029326B"/>
    <w:rsid w:val="00293852"/>
    <w:rsid w:val="00293CA6"/>
    <w:rsid w:val="0029488E"/>
    <w:rsid w:val="0029502A"/>
    <w:rsid w:val="00295838"/>
    <w:rsid w:val="00295F84"/>
    <w:rsid w:val="002A1413"/>
    <w:rsid w:val="002A1F35"/>
    <w:rsid w:val="002A236C"/>
    <w:rsid w:val="002A40D9"/>
    <w:rsid w:val="002A4653"/>
    <w:rsid w:val="002A4E91"/>
    <w:rsid w:val="002A5F0F"/>
    <w:rsid w:val="002A6668"/>
    <w:rsid w:val="002A75AC"/>
    <w:rsid w:val="002A78FD"/>
    <w:rsid w:val="002A7AA0"/>
    <w:rsid w:val="002A7FDD"/>
    <w:rsid w:val="002B17BF"/>
    <w:rsid w:val="002B2EF8"/>
    <w:rsid w:val="002B3570"/>
    <w:rsid w:val="002B45D1"/>
    <w:rsid w:val="002B6023"/>
    <w:rsid w:val="002B60BB"/>
    <w:rsid w:val="002B67D1"/>
    <w:rsid w:val="002B6BFA"/>
    <w:rsid w:val="002B72A6"/>
    <w:rsid w:val="002B76DE"/>
    <w:rsid w:val="002C223D"/>
    <w:rsid w:val="002C3D62"/>
    <w:rsid w:val="002C42DA"/>
    <w:rsid w:val="002C56BA"/>
    <w:rsid w:val="002C56F1"/>
    <w:rsid w:val="002C5DE4"/>
    <w:rsid w:val="002C6A85"/>
    <w:rsid w:val="002D0D8F"/>
    <w:rsid w:val="002D1BA4"/>
    <w:rsid w:val="002D2977"/>
    <w:rsid w:val="002D3A58"/>
    <w:rsid w:val="002D4EBD"/>
    <w:rsid w:val="002D50A6"/>
    <w:rsid w:val="002D6810"/>
    <w:rsid w:val="002D734B"/>
    <w:rsid w:val="002D7679"/>
    <w:rsid w:val="002D7A97"/>
    <w:rsid w:val="002E17CF"/>
    <w:rsid w:val="002E2392"/>
    <w:rsid w:val="002E34A8"/>
    <w:rsid w:val="002E5080"/>
    <w:rsid w:val="002E509C"/>
    <w:rsid w:val="002E62BB"/>
    <w:rsid w:val="002E723C"/>
    <w:rsid w:val="002E7DF4"/>
    <w:rsid w:val="002F12D8"/>
    <w:rsid w:val="002F1450"/>
    <w:rsid w:val="002F5A19"/>
    <w:rsid w:val="002F5CD2"/>
    <w:rsid w:val="002F6386"/>
    <w:rsid w:val="002F6815"/>
    <w:rsid w:val="002F6F7E"/>
    <w:rsid w:val="002F75AA"/>
    <w:rsid w:val="00303A60"/>
    <w:rsid w:val="00303A7A"/>
    <w:rsid w:val="00307016"/>
    <w:rsid w:val="0030742B"/>
    <w:rsid w:val="00307921"/>
    <w:rsid w:val="00307C06"/>
    <w:rsid w:val="00310161"/>
    <w:rsid w:val="00313F85"/>
    <w:rsid w:val="0031761D"/>
    <w:rsid w:val="00320A0E"/>
    <w:rsid w:val="003274A8"/>
    <w:rsid w:val="00327882"/>
    <w:rsid w:val="00330E86"/>
    <w:rsid w:val="003327F8"/>
    <w:rsid w:val="00332F66"/>
    <w:rsid w:val="003337D6"/>
    <w:rsid w:val="0033474A"/>
    <w:rsid w:val="00334E5C"/>
    <w:rsid w:val="003408FF"/>
    <w:rsid w:val="0034195D"/>
    <w:rsid w:val="00341ABF"/>
    <w:rsid w:val="00344837"/>
    <w:rsid w:val="0034515C"/>
    <w:rsid w:val="00345393"/>
    <w:rsid w:val="00345538"/>
    <w:rsid w:val="00345A1B"/>
    <w:rsid w:val="003460E8"/>
    <w:rsid w:val="00346994"/>
    <w:rsid w:val="003469AF"/>
    <w:rsid w:val="003504D0"/>
    <w:rsid w:val="00350603"/>
    <w:rsid w:val="003524D8"/>
    <w:rsid w:val="00352C6E"/>
    <w:rsid w:val="0035455D"/>
    <w:rsid w:val="00356E79"/>
    <w:rsid w:val="00357B9F"/>
    <w:rsid w:val="00357DCA"/>
    <w:rsid w:val="003616FD"/>
    <w:rsid w:val="00361C6C"/>
    <w:rsid w:val="00362278"/>
    <w:rsid w:val="00362798"/>
    <w:rsid w:val="00363DF3"/>
    <w:rsid w:val="003656DE"/>
    <w:rsid w:val="003715F1"/>
    <w:rsid w:val="0037342E"/>
    <w:rsid w:val="003734CE"/>
    <w:rsid w:val="003740F1"/>
    <w:rsid w:val="00375328"/>
    <w:rsid w:val="00375BCD"/>
    <w:rsid w:val="00382D5F"/>
    <w:rsid w:val="00384C7B"/>
    <w:rsid w:val="0038589C"/>
    <w:rsid w:val="003877F6"/>
    <w:rsid w:val="00387ED8"/>
    <w:rsid w:val="00392DBC"/>
    <w:rsid w:val="003934C6"/>
    <w:rsid w:val="00393949"/>
    <w:rsid w:val="00396112"/>
    <w:rsid w:val="003971DC"/>
    <w:rsid w:val="003A15FE"/>
    <w:rsid w:val="003A3923"/>
    <w:rsid w:val="003A40BC"/>
    <w:rsid w:val="003A44AF"/>
    <w:rsid w:val="003A4591"/>
    <w:rsid w:val="003A459A"/>
    <w:rsid w:val="003A58E8"/>
    <w:rsid w:val="003A604F"/>
    <w:rsid w:val="003A64B7"/>
    <w:rsid w:val="003B0236"/>
    <w:rsid w:val="003B082C"/>
    <w:rsid w:val="003B102F"/>
    <w:rsid w:val="003B2582"/>
    <w:rsid w:val="003B2F66"/>
    <w:rsid w:val="003B4B7E"/>
    <w:rsid w:val="003C07A3"/>
    <w:rsid w:val="003C15CB"/>
    <w:rsid w:val="003C298D"/>
    <w:rsid w:val="003C3BE9"/>
    <w:rsid w:val="003C3BFF"/>
    <w:rsid w:val="003C5654"/>
    <w:rsid w:val="003C7713"/>
    <w:rsid w:val="003D1D7C"/>
    <w:rsid w:val="003D2646"/>
    <w:rsid w:val="003D5638"/>
    <w:rsid w:val="003D592B"/>
    <w:rsid w:val="003D5C8A"/>
    <w:rsid w:val="003D6912"/>
    <w:rsid w:val="003D757B"/>
    <w:rsid w:val="003D7BDF"/>
    <w:rsid w:val="003E2652"/>
    <w:rsid w:val="003E2783"/>
    <w:rsid w:val="003E2834"/>
    <w:rsid w:val="003E2B1A"/>
    <w:rsid w:val="003E2F0E"/>
    <w:rsid w:val="003E31ED"/>
    <w:rsid w:val="003E56C0"/>
    <w:rsid w:val="003E584B"/>
    <w:rsid w:val="003E58C1"/>
    <w:rsid w:val="003E6ED0"/>
    <w:rsid w:val="003F4184"/>
    <w:rsid w:val="003F4C29"/>
    <w:rsid w:val="003F4C5E"/>
    <w:rsid w:val="004011D4"/>
    <w:rsid w:val="00404450"/>
    <w:rsid w:val="004122D1"/>
    <w:rsid w:val="00413E74"/>
    <w:rsid w:val="004157D6"/>
    <w:rsid w:val="00415964"/>
    <w:rsid w:val="00416AFA"/>
    <w:rsid w:val="00416B2D"/>
    <w:rsid w:val="00416DA8"/>
    <w:rsid w:val="00420BDD"/>
    <w:rsid w:val="00423129"/>
    <w:rsid w:val="00424B21"/>
    <w:rsid w:val="00424EFF"/>
    <w:rsid w:val="00427AA3"/>
    <w:rsid w:val="00427CE2"/>
    <w:rsid w:val="00427F76"/>
    <w:rsid w:val="00430302"/>
    <w:rsid w:val="004306C9"/>
    <w:rsid w:val="00431F76"/>
    <w:rsid w:val="00433775"/>
    <w:rsid w:val="00434349"/>
    <w:rsid w:val="00434735"/>
    <w:rsid w:val="00434AF1"/>
    <w:rsid w:val="00435E42"/>
    <w:rsid w:val="004361B2"/>
    <w:rsid w:val="004403A6"/>
    <w:rsid w:val="00446357"/>
    <w:rsid w:val="004469FF"/>
    <w:rsid w:val="00447036"/>
    <w:rsid w:val="0044772E"/>
    <w:rsid w:val="00452652"/>
    <w:rsid w:val="00454B65"/>
    <w:rsid w:val="00455111"/>
    <w:rsid w:val="004554E9"/>
    <w:rsid w:val="0045747A"/>
    <w:rsid w:val="004575A6"/>
    <w:rsid w:val="004575DA"/>
    <w:rsid w:val="00461B83"/>
    <w:rsid w:val="00463B24"/>
    <w:rsid w:val="004643D0"/>
    <w:rsid w:val="004646A9"/>
    <w:rsid w:val="00467099"/>
    <w:rsid w:val="004672E4"/>
    <w:rsid w:val="00467A70"/>
    <w:rsid w:val="0047131C"/>
    <w:rsid w:val="0047737E"/>
    <w:rsid w:val="004774F9"/>
    <w:rsid w:val="00477B34"/>
    <w:rsid w:val="00477B66"/>
    <w:rsid w:val="00477F70"/>
    <w:rsid w:val="004800C0"/>
    <w:rsid w:val="00480AB5"/>
    <w:rsid w:val="00481074"/>
    <w:rsid w:val="00483F33"/>
    <w:rsid w:val="0048427A"/>
    <w:rsid w:val="0048470F"/>
    <w:rsid w:val="00487109"/>
    <w:rsid w:val="0048726F"/>
    <w:rsid w:val="00487D1B"/>
    <w:rsid w:val="00487DD0"/>
    <w:rsid w:val="004912DD"/>
    <w:rsid w:val="00491A8C"/>
    <w:rsid w:val="004944AC"/>
    <w:rsid w:val="00495E21"/>
    <w:rsid w:val="00495EE9"/>
    <w:rsid w:val="0049610A"/>
    <w:rsid w:val="004964FB"/>
    <w:rsid w:val="00496DCF"/>
    <w:rsid w:val="004970AB"/>
    <w:rsid w:val="00497538"/>
    <w:rsid w:val="004A0278"/>
    <w:rsid w:val="004A1195"/>
    <w:rsid w:val="004A1617"/>
    <w:rsid w:val="004A2002"/>
    <w:rsid w:val="004A2B08"/>
    <w:rsid w:val="004A2C9B"/>
    <w:rsid w:val="004A3346"/>
    <w:rsid w:val="004A39B4"/>
    <w:rsid w:val="004A5D3B"/>
    <w:rsid w:val="004A67D8"/>
    <w:rsid w:val="004B051F"/>
    <w:rsid w:val="004B0F26"/>
    <w:rsid w:val="004B1750"/>
    <w:rsid w:val="004B1F12"/>
    <w:rsid w:val="004B3038"/>
    <w:rsid w:val="004B55CC"/>
    <w:rsid w:val="004B5974"/>
    <w:rsid w:val="004C088E"/>
    <w:rsid w:val="004C21EB"/>
    <w:rsid w:val="004C3510"/>
    <w:rsid w:val="004C3A6A"/>
    <w:rsid w:val="004D0680"/>
    <w:rsid w:val="004D1079"/>
    <w:rsid w:val="004D127D"/>
    <w:rsid w:val="004D235F"/>
    <w:rsid w:val="004D39B1"/>
    <w:rsid w:val="004D54B8"/>
    <w:rsid w:val="004D584B"/>
    <w:rsid w:val="004D700E"/>
    <w:rsid w:val="004E1D87"/>
    <w:rsid w:val="004E36AA"/>
    <w:rsid w:val="004E392F"/>
    <w:rsid w:val="004E4B31"/>
    <w:rsid w:val="004E5288"/>
    <w:rsid w:val="004E575F"/>
    <w:rsid w:val="004E5B0E"/>
    <w:rsid w:val="004E7DCE"/>
    <w:rsid w:val="004F091A"/>
    <w:rsid w:val="004F0E3E"/>
    <w:rsid w:val="004F1A92"/>
    <w:rsid w:val="004F3612"/>
    <w:rsid w:val="004F4586"/>
    <w:rsid w:val="004F6631"/>
    <w:rsid w:val="0050154B"/>
    <w:rsid w:val="005025BA"/>
    <w:rsid w:val="005027CC"/>
    <w:rsid w:val="00503D78"/>
    <w:rsid w:val="00506549"/>
    <w:rsid w:val="005074E3"/>
    <w:rsid w:val="00507951"/>
    <w:rsid w:val="0051136A"/>
    <w:rsid w:val="00512942"/>
    <w:rsid w:val="00513D99"/>
    <w:rsid w:val="005142C8"/>
    <w:rsid w:val="00514A07"/>
    <w:rsid w:val="00514C14"/>
    <w:rsid w:val="00517A5D"/>
    <w:rsid w:val="00520012"/>
    <w:rsid w:val="00520557"/>
    <w:rsid w:val="0052118D"/>
    <w:rsid w:val="005227DB"/>
    <w:rsid w:val="005240BA"/>
    <w:rsid w:val="0052417E"/>
    <w:rsid w:val="005248E0"/>
    <w:rsid w:val="00524CF8"/>
    <w:rsid w:val="00524F98"/>
    <w:rsid w:val="00526089"/>
    <w:rsid w:val="0053077C"/>
    <w:rsid w:val="00534136"/>
    <w:rsid w:val="0053786C"/>
    <w:rsid w:val="00541AD8"/>
    <w:rsid w:val="00541ED3"/>
    <w:rsid w:val="00542DE2"/>
    <w:rsid w:val="005440EB"/>
    <w:rsid w:val="005445D0"/>
    <w:rsid w:val="005449EE"/>
    <w:rsid w:val="00544C62"/>
    <w:rsid w:val="00544CF5"/>
    <w:rsid w:val="00544DDC"/>
    <w:rsid w:val="005459EA"/>
    <w:rsid w:val="00546F19"/>
    <w:rsid w:val="005503A0"/>
    <w:rsid w:val="00553D48"/>
    <w:rsid w:val="005566BE"/>
    <w:rsid w:val="005605CA"/>
    <w:rsid w:val="005609D5"/>
    <w:rsid w:val="00560E10"/>
    <w:rsid w:val="00561078"/>
    <w:rsid w:val="005619BB"/>
    <w:rsid w:val="00562291"/>
    <w:rsid w:val="005629DC"/>
    <w:rsid w:val="00566748"/>
    <w:rsid w:val="00570737"/>
    <w:rsid w:val="005718F8"/>
    <w:rsid w:val="0057203F"/>
    <w:rsid w:val="00572E90"/>
    <w:rsid w:val="00573BCE"/>
    <w:rsid w:val="00574476"/>
    <w:rsid w:val="00574EE1"/>
    <w:rsid w:val="005750F0"/>
    <w:rsid w:val="00575507"/>
    <w:rsid w:val="00576183"/>
    <w:rsid w:val="00581177"/>
    <w:rsid w:val="005819B9"/>
    <w:rsid w:val="00582210"/>
    <w:rsid w:val="00582581"/>
    <w:rsid w:val="005825E0"/>
    <w:rsid w:val="00584596"/>
    <w:rsid w:val="0058571F"/>
    <w:rsid w:val="00585796"/>
    <w:rsid w:val="00585D40"/>
    <w:rsid w:val="00591945"/>
    <w:rsid w:val="00591E5D"/>
    <w:rsid w:val="005936C9"/>
    <w:rsid w:val="005950C9"/>
    <w:rsid w:val="005A041C"/>
    <w:rsid w:val="005A281D"/>
    <w:rsid w:val="005A31AC"/>
    <w:rsid w:val="005A3D95"/>
    <w:rsid w:val="005A43B6"/>
    <w:rsid w:val="005A5554"/>
    <w:rsid w:val="005A58CF"/>
    <w:rsid w:val="005A64C4"/>
    <w:rsid w:val="005A6ED8"/>
    <w:rsid w:val="005A70FB"/>
    <w:rsid w:val="005A7AA7"/>
    <w:rsid w:val="005A7BF2"/>
    <w:rsid w:val="005B1033"/>
    <w:rsid w:val="005B32E7"/>
    <w:rsid w:val="005B33C3"/>
    <w:rsid w:val="005B3590"/>
    <w:rsid w:val="005B390A"/>
    <w:rsid w:val="005B5087"/>
    <w:rsid w:val="005B57F9"/>
    <w:rsid w:val="005B59EC"/>
    <w:rsid w:val="005B6FB2"/>
    <w:rsid w:val="005B7066"/>
    <w:rsid w:val="005B710B"/>
    <w:rsid w:val="005B7A23"/>
    <w:rsid w:val="005C2BAC"/>
    <w:rsid w:val="005C3087"/>
    <w:rsid w:val="005C33B1"/>
    <w:rsid w:val="005C425A"/>
    <w:rsid w:val="005C4EE2"/>
    <w:rsid w:val="005C62EF"/>
    <w:rsid w:val="005C6AAF"/>
    <w:rsid w:val="005D0EED"/>
    <w:rsid w:val="005D1D9C"/>
    <w:rsid w:val="005D2010"/>
    <w:rsid w:val="005D214C"/>
    <w:rsid w:val="005D3A35"/>
    <w:rsid w:val="005D4331"/>
    <w:rsid w:val="005D51DA"/>
    <w:rsid w:val="005D6188"/>
    <w:rsid w:val="005E2B50"/>
    <w:rsid w:val="005E4279"/>
    <w:rsid w:val="005E5AD4"/>
    <w:rsid w:val="005E7A72"/>
    <w:rsid w:val="005F2000"/>
    <w:rsid w:val="005F3619"/>
    <w:rsid w:val="005F3656"/>
    <w:rsid w:val="005F3859"/>
    <w:rsid w:val="005F4B3C"/>
    <w:rsid w:val="005F5361"/>
    <w:rsid w:val="005F5461"/>
    <w:rsid w:val="005F593A"/>
    <w:rsid w:val="005F5A85"/>
    <w:rsid w:val="005F6746"/>
    <w:rsid w:val="005F6FA1"/>
    <w:rsid w:val="005F728E"/>
    <w:rsid w:val="005F7671"/>
    <w:rsid w:val="005F7EE6"/>
    <w:rsid w:val="006022EB"/>
    <w:rsid w:val="00602648"/>
    <w:rsid w:val="0060381E"/>
    <w:rsid w:val="00603AAC"/>
    <w:rsid w:val="00603DB1"/>
    <w:rsid w:val="00605F50"/>
    <w:rsid w:val="006107A2"/>
    <w:rsid w:val="00610A6A"/>
    <w:rsid w:val="00611223"/>
    <w:rsid w:val="00614FB2"/>
    <w:rsid w:val="00616EB2"/>
    <w:rsid w:val="006179F8"/>
    <w:rsid w:val="006218C3"/>
    <w:rsid w:val="00621EEA"/>
    <w:rsid w:val="00622FFE"/>
    <w:rsid w:val="00625B78"/>
    <w:rsid w:val="0062609A"/>
    <w:rsid w:val="0062659C"/>
    <w:rsid w:val="006301DC"/>
    <w:rsid w:val="00630E2E"/>
    <w:rsid w:val="00630FF2"/>
    <w:rsid w:val="00631262"/>
    <w:rsid w:val="006314C4"/>
    <w:rsid w:val="006317CF"/>
    <w:rsid w:val="0063223C"/>
    <w:rsid w:val="00632630"/>
    <w:rsid w:val="00634206"/>
    <w:rsid w:val="00634F26"/>
    <w:rsid w:val="006376DE"/>
    <w:rsid w:val="006412A7"/>
    <w:rsid w:val="0064222B"/>
    <w:rsid w:val="0064267C"/>
    <w:rsid w:val="006429BB"/>
    <w:rsid w:val="0064362C"/>
    <w:rsid w:val="00644571"/>
    <w:rsid w:val="006445D9"/>
    <w:rsid w:val="00645734"/>
    <w:rsid w:val="006462D3"/>
    <w:rsid w:val="006478E4"/>
    <w:rsid w:val="00651EF6"/>
    <w:rsid w:val="00653904"/>
    <w:rsid w:val="0065394C"/>
    <w:rsid w:val="0065401B"/>
    <w:rsid w:val="0065566A"/>
    <w:rsid w:val="00656D7F"/>
    <w:rsid w:val="00657642"/>
    <w:rsid w:val="00662FEF"/>
    <w:rsid w:val="00663528"/>
    <w:rsid w:val="00663AC6"/>
    <w:rsid w:val="00663D79"/>
    <w:rsid w:val="00664109"/>
    <w:rsid w:val="00664DD5"/>
    <w:rsid w:val="0067112B"/>
    <w:rsid w:val="00671778"/>
    <w:rsid w:val="0067215E"/>
    <w:rsid w:val="006728DA"/>
    <w:rsid w:val="00672D3C"/>
    <w:rsid w:val="0067314D"/>
    <w:rsid w:val="00673EA1"/>
    <w:rsid w:val="00673ED6"/>
    <w:rsid w:val="006742A1"/>
    <w:rsid w:val="00675425"/>
    <w:rsid w:val="0067692B"/>
    <w:rsid w:val="00676F7B"/>
    <w:rsid w:val="00682BE9"/>
    <w:rsid w:val="00684612"/>
    <w:rsid w:val="00685642"/>
    <w:rsid w:val="00685FE2"/>
    <w:rsid w:val="00687BFC"/>
    <w:rsid w:val="006902EF"/>
    <w:rsid w:val="006921AC"/>
    <w:rsid w:val="006928E5"/>
    <w:rsid w:val="00693FF9"/>
    <w:rsid w:val="00694A7C"/>
    <w:rsid w:val="006976B5"/>
    <w:rsid w:val="00697D29"/>
    <w:rsid w:val="006A18F6"/>
    <w:rsid w:val="006A2B56"/>
    <w:rsid w:val="006A304C"/>
    <w:rsid w:val="006A511C"/>
    <w:rsid w:val="006A7154"/>
    <w:rsid w:val="006A7203"/>
    <w:rsid w:val="006A7F0C"/>
    <w:rsid w:val="006B0028"/>
    <w:rsid w:val="006B17BA"/>
    <w:rsid w:val="006B28B0"/>
    <w:rsid w:val="006B2D37"/>
    <w:rsid w:val="006B34E9"/>
    <w:rsid w:val="006B372C"/>
    <w:rsid w:val="006B3D83"/>
    <w:rsid w:val="006C00D0"/>
    <w:rsid w:val="006C0466"/>
    <w:rsid w:val="006C0671"/>
    <w:rsid w:val="006C1017"/>
    <w:rsid w:val="006C1604"/>
    <w:rsid w:val="006C201D"/>
    <w:rsid w:val="006C42C3"/>
    <w:rsid w:val="006C4702"/>
    <w:rsid w:val="006C4AA2"/>
    <w:rsid w:val="006C5543"/>
    <w:rsid w:val="006C68C8"/>
    <w:rsid w:val="006C6DA5"/>
    <w:rsid w:val="006C7242"/>
    <w:rsid w:val="006C7447"/>
    <w:rsid w:val="006D085E"/>
    <w:rsid w:val="006D1C9F"/>
    <w:rsid w:val="006D1EBC"/>
    <w:rsid w:val="006D2025"/>
    <w:rsid w:val="006D2C0F"/>
    <w:rsid w:val="006D368B"/>
    <w:rsid w:val="006D3717"/>
    <w:rsid w:val="006D46DC"/>
    <w:rsid w:val="006D57E9"/>
    <w:rsid w:val="006D6429"/>
    <w:rsid w:val="006D7088"/>
    <w:rsid w:val="006D7149"/>
    <w:rsid w:val="006D7BF4"/>
    <w:rsid w:val="006E0219"/>
    <w:rsid w:val="006E0535"/>
    <w:rsid w:val="006E0C85"/>
    <w:rsid w:val="006E1195"/>
    <w:rsid w:val="006E19EA"/>
    <w:rsid w:val="006E44D6"/>
    <w:rsid w:val="006E4535"/>
    <w:rsid w:val="006E6098"/>
    <w:rsid w:val="006E657E"/>
    <w:rsid w:val="006E6A2E"/>
    <w:rsid w:val="006E7146"/>
    <w:rsid w:val="006E7843"/>
    <w:rsid w:val="006F01AF"/>
    <w:rsid w:val="006F1DBE"/>
    <w:rsid w:val="006F2C20"/>
    <w:rsid w:val="006F34F4"/>
    <w:rsid w:val="006F46EE"/>
    <w:rsid w:val="006F53D9"/>
    <w:rsid w:val="00700F50"/>
    <w:rsid w:val="007015D3"/>
    <w:rsid w:val="0070285A"/>
    <w:rsid w:val="00702952"/>
    <w:rsid w:val="00702AB6"/>
    <w:rsid w:val="007033ED"/>
    <w:rsid w:val="00704FFD"/>
    <w:rsid w:val="007054FC"/>
    <w:rsid w:val="00712A31"/>
    <w:rsid w:val="00714921"/>
    <w:rsid w:val="00715226"/>
    <w:rsid w:val="00716BA1"/>
    <w:rsid w:val="0072360B"/>
    <w:rsid w:val="00725311"/>
    <w:rsid w:val="00725BB6"/>
    <w:rsid w:val="00726588"/>
    <w:rsid w:val="00727B6B"/>
    <w:rsid w:val="00731AAA"/>
    <w:rsid w:val="00731AB4"/>
    <w:rsid w:val="007326AA"/>
    <w:rsid w:val="007356AD"/>
    <w:rsid w:val="0073644F"/>
    <w:rsid w:val="00737AD5"/>
    <w:rsid w:val="00737F0E"/>
    <w:rsid w:val="00741436"/>
    <w:rsid w:val="00743247"/>
    <w:rsid w:val="00743B07"/>
    <w:rsid w:val="0074451A"/>
    <w:rsid w:val="007451D9"/>
    <w:rsid w:val="0074583A"/>
    <w:rsid w:val="0074770B"/>
    <w:rsid w:val="00747BF5"/>
    <w:rsid w:val="00751628"/>
    <w:rsid w:val="00753086"/>
    <w:rsid w:val="00753F76"/>
    <w:rsid w:val="007544C4"/>
    <w:rsid w:val="007566A7"/>
    <w:rsid w:val="00757C5A"/>
    <w:rsid w:val="00761976"/>
    <w:rsid w:val="00762FB9"/>
    <w:rsid w:val="00764132"/>
    <w:rsid w:val="007642A6"/>
    <w:rsid w:val="00764773"/>
    <w:rsid w:val="00764BE2"/>
    <w:rsid w:val="007654E3"/>
    <w:rsid w:val="007718FA"/>
    <w:rsid w:val="007727FF"/>
    <w:rsid w:val="00772805"/>
    <w:rsid w:val="0077322F"/>
    <w:rsid w:val="00775D49"/>
    <w:rsid w:val="00776FF4"/>
    <w:rsid w:val="007812F5"/>
    <w:rsid w:val="0078131B"/>
    <w:rsid w:val="00781E25"/>
    <w:rsid w:val="00782677"/>
    <w:rsid w:val="00783E0A"/>
    <w:rsid w:val="007850A9"/>
    <w:rsid w:val="007855EB"/>
    <w:rsid w:val="007856C9"/>
    <w:rsid w:val="00785DCA"/>
    <w:rsid w:val="00785F02"/>
    <w:rsid w:val="00790629"/>
    <w:rsid w:val="00791869"/>
    <w:rsid w:val="0079465D"/>
    <w:rsid w:val="00795338"/>
    <w:rsid w:val="00795FD0"/>
    <w:rsid w:val="0079627B"/>
    <w:rsid w:val="0079652E"/>
    <w:rsid w:val="00796D86"/>
    <w:rsid w:val="00797C82"/>
    <w:rsid w:val="007A0207"/>
    <w:rsid w:val="007A02BD"/>
    <w:rsid w:val="007A05B6"/>
    <w:rsid w:val="007A0A78"/>
    <w:rsid w:val="007A0B94"/>
    <w:rsid w:val="007A19D0"/>
    <w:rsid w:val="007A254B"/>
    <w:rsid w:val="007A3412"/>
    <w:rsid w:val="007A4173"/>
    <w:rsid w:val="007A70D5"/>
    <w:rsid w:val="007A768E"/>
    <w:rsid w:val="007A7A17"/>
    <w:rsid w:val="007B029B"/>
    <w:rsid w:val="007B06A4"/>
    <w:rsid w:val="007B0C5B"/>
    <w:rsid w:val="007B12D7"/>
    <w:rsid w:val="007B1555"/>
    <w:rsid w:val="007B191A"/>
    <w:rsid w:val="007B1A31"/>
    <w:rsid w:val="007B31F8"/>
    <w:rsid w:val="007B4710"/>
    <w:rsid w:val="007B4A54"/>
    <w:rsid w:val="007B5428"/>
    <w:rsid w:val="007B70B6"/>
    <w:rsid w:val="007B7951"/>
    <w:rsid w:val="007C0457"/>
    <w:rsid w:val="007C0A29"/>
    <w:rsid w:val="007C0DE8"/>
    <w:rsid w:val="007C2165"/>
    <w:rsid w:val="007C6209"/>
    <w:rsid w:val="007C6EAB"/>
    <w:rsid w:val="007C7845"/>
    <w:rsid w:val="007D002B"/>
    <w:rsid w:val="007D1D6B"/>
    <w:rsid w:val="007D2270"/>
    <w:rsid w:val="007D32EA"/>
    <w:rsid w:val="007D36E2"/>
    <w:rsid w:val="007D4B9B"/>
    <w:rsid w:val="007D64F9"/>
    <w:rsid w:val="007D74BB"/>
    <w:rsid w:val="007D789B"/>
    <w:rsid w:val="007D7990"/>
    <w:rsid w:val="007E08E9"/>
    <w:rsid w:val="007E1014"/>
    <w:rsid w:val="007E1C64"/>
    <w:rsid w:val="007E226F"/>
    <w:rsid w:val="007E46FB"/>
    <w:rsid w:val="007E5E86"/>
    <w:rsid w:val="007E6A12"/>
    <w:rsid w:val="007E6A42"/>
    <w:rsid w:val="007E716A"/>
    <w:rsid w:val="007E785F"/>
    <w:rsid w:val="007F1641"/>
    <w:rsid w:val="007F6ECE"/>
    <w:rsid w:val="00800F52"/>
    <w:rsid w:val="008030B9"/>
    <w:rsid w:val="00807FA8"/>
    <w:rsid w:val="008125B1"/>
    <w:rsid w:val="00812DF3"/>
    <w:rsid w:val="00813A35"/>
    <w:rsid w:val="00814430"/>
    <w:rsid w:val="008155E3"/>
    <w:rsid w:val="008158FC"/>
    <w:rsid w:val="00815DBD"/>
    <w:rsid w:val="00816B00"/>
    <w:rsid w:val="00821976"/>
    <w:rsid w:val="00821F7B"/>
    <w:rsid w:val="00822337"/>
    <w:rsid w:val="0082310C"/>
    <w:rsid w:val="00824305"/>
    <w:rsid w:val="00825DB9"/>
    <w:rsid w:val="00826D60"/>
    <w:rsid w:val="0082700B"/>
    <w:rsid w:val="0083115C"/>
    <w:rsid w:val="00833478"/>
    <w:rsid w:val="00836D63"/>
    <w:rsid w:val="00837C26"/>
    <w:rsid w:val="0084294D"/>
    <w:rsid w:val="00842C70"/>
    <w:rsid w:val="00845131"/>
    <w:rsid w:val="008466D4"/>
    <w:rsid w:val="00846F86"/>
    <w:rsid w:val="00847319"/>
    <w:rsid w:val="00847C53"/>
    <w:rsid w:val="00853CD4"/>
    <w:rsid w:val="0085404C"/>
    <w:rsid w:val="008556ED"/>
    <w:rsid w:val="0086071D"/>
    <w:rsid w:val="00861D30"/>
    <w:rsid w:val="00867FAE"/>
    <w:rsid w:val="00871912"/>
    <w:rsid w:val="00871B5F"/>
    <w:rsid w:val="00872271"/>
    <w:rsid w:val="0087364E"/>
    <w:rsid w:val="0087387B"/>
    <w:rsid w:val="008741AF"/>
    <w:rsid w:val="008754BC"/>
    <w:rsid w:val="00875AEF"/>
    <w:rsid w:val="00875CB6"/>
    <w:rsid w:val="00881283"/>
    <w:rsid w:val="0088165B"/>
    <w:rsid w:val="008821B6"/>
    <w:rsid w:val="008822C7"/>
    <w:rsid w:val="0088426A"/>
    <w:rsid w:val="00885B86"/>
    <w:rsid w:val="00885E41"/>
    <w:rsid w:val="00885EE2"/>
    <w:rsid w:val="00886E07"/>
    <w:rsid w:val="00887ECC"/>
    <w:rsid w:val="0089137D"/>
    <w:rsid w:val="008916EE"/>
    <w:rsid w:val="00891763"/>
    <w:rsid w:val="00892045"/>
    <w:rsid w:val="0089314C"/>
    <w:rsid w:val="00893587"/>
    <w:rsid w:val="00893B80"/>
    <w:rsid w:val="0089495E"/>
    <w:rsid w:val="00895147"/>
    <w:rsid w:val="00895327"/>
    <w:rsid w:val="00896407"/>
    <w:rsid w:val="008A2016"/>
    <w:rsid w:val="008A2957"/>
    <w:rsid w:val="008A50A5"/>
    <w:rsid w:val="008B025C"/>
    <w:rsid w:val="008B12C4"/>
    <w:rsid w:val="008B16C2"/>
    <w:rsid w:val="008B1A5D"/>
    <w:rsid w:val="008B2886"/>
    <w:rsid w:val="008B2A98"/>
    <w:rsid w:val="008B3F47"/>
    <w:rsid w:val="008B5A6C"/>
    <w:rsid w:val="008B5B52"/>
    <w:rsid w:val="008B7BA6"/>
    <w:rsid w:val="008B7F81"/>
    <w:rsid w:val="008C0702"/>
    <w:rsid w:val="008C0F1A"/>
    <w:rsid w:val="008C396E"/>
    <w:rsid w:val="008C3A05"/>
    <w:rsid w:val="008C4981"/>
    <w:rsid w:val="008C5686"/>
    <w:rsid w:val="008C5AE3"/>
    <w:rsid w:val="008C65FF"/>
    <w:rsid w:val="008D2ECC"/>
    <w:rsid w:val="008D409E"/>
    <w:rsid w:val="008D4D68"/>
    <w:rsid w:val="008D504D"/>
    <w:rsid w:val="008D5602"/>
    <w:rsid w:val="008D6B3C"/>
    <w:rsid w:val="008D7B30"/>
    <w:rsid w:val="008E0C93"/>
    <w:rsid w:val="008E1EAC"/>
    <w:rsid w:val="008E4937"/>
    <w:rsid w:val="008E5037"/>
    <w:rsid w:val="008E58E4"/>
    <w:rsid w:val="008E6C61"/>
    <w:rsid w:val="008E7CF6"/>
    <w:rsid w:val="008F09C0"/>
    <w:rsid w:val="008F3245"/>
    <w:rsid w:val="008F67C8"/>
    <w:rsid w:val="008F6B9E"/>
    <w:rsid w:val="008F76EB"/>
    <w:rsid w:val="009023C3"/>
    <w:rsid w:val="00902FEC"/>
    <w:rsid w:val="00905287"/>
    <w:rsid w:val="00905990"/>
    <w:rsid w:val="00905EA7"/>
    <w:rsid w:val="00906474"/>
    <w:rsid w:val="00906C0B"/>
    <w:rsid w:val="00906DE5"/>
    <w:rsid w:val="00910792"/>
    <w:rsid w:val="00910C76"/>
    <w:rsid w:val="009110CE"/>
    <w:rsid w:val="00911304"/>
    <w:rsid w:val="009128C5"/>
    <w:rsid w:val="00912CF3"/>
    <w:rsid w:val="009142D7"/>
    <w:rsid w:val="009149C5"/>
    <w:rsid w:val="00920B24"/>
    <w:rsid w:val="00920BCC"/>
    <w:rsid w:val="00921689"/>
    <w:rsid w:val="00921750"/>
    <w:rsid w:val="00921EFC"/>
    <w:rsid w:val="009221D2"/>
    <w:rsid w:val="00925134"/>
    <w:rsid w:val="009257E5"/>
    <w:rsid w:val="009272C4"/>
    <w:rsid w:val="00930AE3"/>
    <w:rsid w:val="00931A0F"/>
    <w:rsid w:val="009326D9"/>
    <w:rsid w:val="009326E8"/>
    <w:rsid w:val="00933C4D"/>
    <w:rsid w:val="00934CE9"/>
    <w:rsid w:val="009402F4"/>
    <w:rsid w:val="009413F3"/>
    <w:rsid w:val="0094186B"/>
    <w:rsid w:val="00942733"/>
    <w:rsid w:val="00944181"/>
    <w:rsid w:val="00952AE8"/>
    <w:rsid w:val="00953C3F"/>
    <w:rsid w:val="00953CAC"/>
    <w:rsid w:val="00954259"/>
    <w:rsid w:val="00954EBD"/>
    <w:rsid w:val="0095511A"/>
    <w:rsid w:val="00955728"/>
    <w:rsid w:val="00956962"/>
    <w:rsid w:val="00956C2A"/>
    <w:rsid w:val="0095779B"/>
    <w:rsid w:val="00960A58"/>
    <w:rsid w:val="00962132"/>
    <w:rsid w:val="0096257F"/>
    <w:rsid w:val="0096262A"/>
    <w:rsid w:val="0096287B"/>
    <w:rsid w:val="00964330"/>
    <w:rsid w:val="00964DF8"/>
    <w:rsid w:val="00965B1C"/>
    <w:rsid w:val="00965FB9"/>
    <w:rsid w:val="009668E7"/>
    <w:rsid w:val="00971941"/>
    <w:rsid w:val="0097339E"/>
    <w:rsid w:val="00973F92"/>
    <w:rsid w:val="00974260"/>
    <w:rsid w:val="00975B00"/>
    <w:rsid w:val="00977C64"/>
    <w:rsid w:val="00982429"/>
    <w:rsid w:val="00982F70"/>
    <w:rsid w:val="00984D36"/>
    <w:rsid w:val="00985245"/>
    <w:rsid w:val="00985BB2"/>
    <w:rsid w:val="00987E08"/>
    <w:rsid w:val="00990B1D"/>
    <w:rsid w:val="00990CB4"/>
    <w:rsid w:val="0099125F"/>
    <w:rsid w:val="00991882"/>
    <w:rsid w:val="00992F7B"/>
    <w:rsid w:val="0099479B"/>
    <w:rsid w:val="009948D0"/>
    <w:rsid w:val="009957A9"/>
    <w:rsid w:val="00995953"/>
    <w:rsid w:val="00995F02"/>
    <w:rsid w:val="00995F19"/>
    <w:rsid w:val="009A03E7"/>
    <w:rsid w:val="009A2F43"/>
    <w:rsid w:val="009A4891"/>
    <w:rsid w:val="009A493D"/>
    <w:rsid w:val="009A76CA"/>
    <w:rsid w:val="009B09FA"/>
    <w:rsid w:val="009B1081"/>
    <w:rsid w:val="009B12DD"/>
    <w:rsid w:val="009B2153"/>
    <w:rsid w:val="009B49B7"/>
    <w:rsid w:val="009B5063"/>
    <w:rsid w:val="009B6872"/>
    <w:rsid w:val="009B6CAA"/>
    <w:rsid w:val="009B74D8"/>
    <w:rsid w:val="009B7E9E"/>
    <w:rsid w:val="009C0ACB"/>
    <w:rsid w:val="009C4032"/>
    <w:rsid w:val="009C44AF"/>
    <w:rsid w:val="009C5A64"/>
    <w:rsid w:val="009C6E37"/>
    <w:rsid w:val="009D17BB"/>
    <w:rsid w:val="009D17E6"/>
    <w:rsid w:val="009D182D"/>
    <w:rsid w:val="009D192F"/>
    <w:rsid w:val="009D3718"/>
    <w:rsid w:val="009D58AB"/>
    <w:rsid w:val="009E14EF"/>
    <w:rsid w:val="009E1C09"/>
    <w:rsid w:val="009E1E68"/>
    <w:rsid w:val="009E3DDD"/>
    <w:rsid w:val="009E64EA"/>
    <w:rsid w:val="009E7273"/>
    <w:rsid w:val="009E7C69"/>
    <w:rsid w:val="009F067B"/>
    <w:rsid w:val="009F120D"/>
    <w:rsid w:val="009F3CED"/>
    <w:rsid w:val="009F769C"/>
    <w:rsid w:val="00A000D9"/>
    <w:rsid w:val="00A00436"/>
    <w:rsid w:val="00A00B10"/>
    <w:rsid w:val="00A00B2C"/>
    <w:rsid w:val="00A01597"/>
    <w:rsid w:val="00A06A88"/>
    <w:rsid w:val="00A07CAA"/>
    <w:rsid w:val="00A10A20"/>
    <w:rsid w:val="00A11A4D"/>
    <w:rsid w:val="00A12D76"/>
    <w:rsid w:val="00A1318E"/>
    <w:rsid w:val="00A13E58"/>
    <w:rsid w:val="00A15235"/>
    <w:rsid w:val="00A15396"/>
    <w:rsid w:val="00A15ACC"/>
    <w:rsid w:val="00A17126"/>
    <w:rsid w:val="00A200CA"/>
    <w:rsid w:val="00A20363"/>
    <w:rsid w:val="00A20C5D"/>
    <w:rsid w:val="00A21344"/>
    <w:rsid w:val="00A2193F"/>
    <w:rsid w:val="00A21A20"/>
    <w:rsid w:val="00A23C12"/>
    <w:rsid w:val="00A23D50"/>
    <w:rsid w:val="00A23F98"/>
    <w:rsid w:val="00A24818"/>
    <w:rsid w:val="00A24D89"/>
    <w:rsid w:val="00A255CB"/>
    <w:rsid w:val="00A25661"/>
    <w:rsid w:val="00A26BFF"/>
    <w:rsid w:val="00A26C80"/>
    <w:rsid w:val="00A26FCF"/>
    <w:rsid w:val="00A2794B"/>
    <w:rsid w:val="00A305CD"/>
    <w:rsid w:val="00A31D75"/>
    <w:rsid w:val="00A327D8"/>
    <w:rsid w:val="00A337D8"/>
    <w:rsid w:val="00A372F3"/>
    <w:rsid w:val="00A37A54"/>
    <w:rsid w:val="00A40261"/>
    <w:rsid w:val="00A407BB"/>
    <w:rsid w:val="00A40AEE"/>
    <w:rsid w:val="00A421C8"/>
    <w:rsid w:val="00A429FF"/>
    <w:rsid w:val="00A42C64"/>
    <w:rsid w:val="00A42DA9"/>
    <w:rsid w:val="00A438D0"/>
    <w:rsid w:val="00A44D8C"/>
    <w:rsid w:val="00A46552"/>
    <w:rsid w:val="00A5027B"/>
    <w:rsid w:val="00A50AD5"/>
    <w:rsid w:val="00A53890"/>
    <w:rsid w:val="00A551F7"/>
    <w:rsid w:val="00A55559"/>
    <w:rsid w:val="00A55B58"/>
    <w:rsid w:val="00A55CAE"/>
    <w:rsid w:val="00A56A1F"/>
    <w:rsid w:val="00A57A69"/>
    <w:rsid w:val="00A604C7"/>
    <w:rsid w:val="00A6108F"/>
    <w:rsid w:val="00A61F14"/>
    <w:rsid w:val="00A62FE1"/>
    <w:rsid w:val="00A6330C"/>
    <w:rsid w:val="00A63391"/>
    <w:rsid w:val="00A63D03"/>
    <w:rsid w:val="00A644FB"/>
    <w:rsid w:val="00A65DB6"/>
    <w:rsid w:val="00A6618B"/>
    <w:rsid w:val="00A723DC"/>
    <w:rsid w:val="00A751B3"/>
    <w:rsid w:val="00A80B84"/>
    <w:rsid w:val="00A812E7"/>
    <w:rsid w:val="00A8199A"/>
    <w:rsid w:val="00A81E54"/>
    <w:rsid w:val="00A81F6F"/>
    <w:rsid w:val="00A84489"/>
    <w:rsid w:val="00A8599E"/>
    <w:rsid w:val="00A85D0D"/>
    <w:rsid w:val="00A862C2"/>
    <w:rsid w:val="00A870FA"/>
    <w:rsid w:val="00A871B2"/>
    <w:rsid w:val="00A8728B"/>
    <w:rsid w:val="00A87CC0"/>
    <w:rsid w:val="00A902B8"/>
    <w:rsid w:val="00A91EC6"/>
    <w:rsid w:val="00A91ECF"/>
    <w:rsid w:val="00A91F6C"/>
    <w:rsid w:val="00A927F0"/>
    <w:rsid w:val="00A9340F"/>
    <w:rsid w:val="00A9348E"/>
    <w:rsid w:val="00A93EC2"/>
    <w:rsid w:val="00A9440B"/>
    <w:rsid w:val="00A96141"/>
    <w:rsid w:val="00A970BD"/>
    <w:rsid w:val="00AA1CD9"/>
    <w:rsid w:val="00AA2A2F"/>
    <w:rsid w:val="00AA3C1B"/>
    <w:rsid w:val="00AA3D98"/>
    <w:rsid w:val="00AA46E2"/>
    <w:rsid w:val="00AA5EBC"/>
    <w:rsid w:val="00AB0771"/>
    <w:rsid w:val="00AB13A2"/>
    <w:rsid w:val="00AB17DB"/>
    <w:rsid w:val="00AB19AB"/>
    <w:rsid w:val="00AB2C3E"/>
    <w:rsid w:val="00AB410A"/>
    <w:rsid w:val="00AB480C"/>
    <w:rsid w:val="00AB4CAE"/>
    <w:rsid w:val="00AB646E"/>
    <w:rsid w:val="00AB797B"/>
    <w:rsid w:val="00AC23E4"/>
    <w:rsid w:val="00AC37A4"/>
    <w:rsid w:val="00AC3B75"/>
    <w:rsid w:val="00AC3F58"/>
    <w:rsid w:val="00AC5FCD"/>
    <w:rsid w:val="00AD213D"/>
    <w:rsid w:val="00AD271A"/>
    <w:rsid w:val="00AD3CA5"/>
    <w:rsid w:val="00AD4AA5"/>
    <w:rsid w:val="00AD53A5"/>
    <w:rsid w:val="00AD54D8"/>
    <w:rsid w:val="00AD5891"/>
    <w:rsid w:val="00AD6AEF"/>
    <w:rsid w:val="00AD6C55"/>
    <w:rsid w:val="00AD6CFF"/>
    <w:rsid w:val="00AD7998"/>
    <w:rsid w:val="00AE0EE9"/>
    <w:rsid w:val="00AE2729"/>
    <w:rsid w:val="00AE3647"/>
    <w:rsid w:val="00AE4807"/>
    <w:rsid w:val="00AE52B4"/>
    <w:rsid w:val="00AE5F7B"/>
    <w:rsid w:val="00AE6588"/>
    <w:rsid w:val="00AE7E13"/>
    <w:rsid w:val="00AF0C9D"/>
    <w:rsid w:val="00AF1D01"/>
    <w:rsid w:val="00AF2D8F"/>
    <w:rsid w:val="00AF44F7"/>
    <w:rsid w:val="00AF4C31"/>
    <w:rsid w:val="00AF59A8"/>
    <w:rsid w:val="00AF6F61"/>
    <w:rsid w:val="00B03B63"/>
    <w:rsid w:val="00B0402A"/>
    <w:rsid w:val="00B05321"/>
    <w:rsid w:val="00B059B0"/>
    <w:rsid w:val="00B05C2F"/>
    <w:rsid w:val="00B05C62"/>
    <w:rsid w:val="00B06B10"/>
    <w:rsid w:val="00B0747E"/>
    <w:rsid w:val="00B07D3E"/>
    <w:rsid w:val="00B1133A"/>
    <w:rsid w:val="00B11F16"/>
    <w:rsid w:val="00B121B6"/>
    <w:rsid w:val="00B12A52"/>
    <w:rsid w:val="00B12BA7"/>
    <w:rsid w:val="00B13667"/>
    <w:rsid w:val="00B13D1D"/>
    <w:rsid w:val="00B1494F"/>
    <w:rsid w:val="00B15A36"/>
    <w:rsid w:val="00B1650D"/>
    <w:rsid w:val="00B202B4"/>
    <w:rsid w:val="00B21DF4"/>
    <w:rsid w:val="00B22761"/>
    <w:rsid w:val="00B23228"/>
    <w:rsid w:val="00B23D70"/>
    <w:rsid w:val="00B243D4"/>
    <w:rsid w:val="00B26D2E"/>
    <w:rsid w:val="00B27E20"/>
    <w:rsid w:val="00B306B0"/>
    <w:rsid w:val="00B30DA1"/>
    <w:rsid w:val="00B30ED4"/>
    <w:rsid w:val="00B30EF3"/>
    <w:rsid w:val="00B319CF"/>
    <w:rsid w:val="00B320DE"/>
    <w:rsid w:val="00B32AE5"/>
    <w:rsid w:val="00B32BB5"/>
    <w:rsid w:val="00B335D6"/>
    <w:rsid w:val="00B33DC3"/>
    <w:rsid w:val="00B356D3"/>
    <w:rsid w:val="00B3656A"/>
    <w:rsid w:val="00B37BB5"/>
    <w:rsid w:val="00B402B6"/>
    <w:rsid w:val="00B43A60"/>
    <w:rsid w:val="00B45AD1"/>
    <w:rsid w:val="00B46AAB"/>
    <w:rsid w:val="00B46AFD"/>
    <w:rsid w:val="00B4754F"/>
    <w:rsid w:val="00B51401"/>
    <w:rsid w:val="00B51835"/>
    <w:rsid w:val="00B54C0C"/>
    <w:rsid w:val="00B55F0F"/>
    <w:rsid w:val="00B572AC"/>
    <w:rsid w:val="00B60EEA"/>
    <w:rsid w:val="00B61443"/>
    <w:rsid w:val="00B619B0"/>
    <w:rsid w:val="00B6283E"/>
    <w:rsid w:val="00B6404B"/>
    <w:rsid w:val="00B64245"/>
    <w:rsid w:val="00B65565"/>
    <w:rsid w:val="00B65D4E"/>
    <w:rsid w:val="00B66198"/>
    <w:rsid w:val="00B675F9"/>
    <w:rsid w:val="00B70DA3"/>
    <w:rsid w:val="00B70E1B"/>
    <w:rsid w:val="00B72A6F"/>
    <w:rsid w:val="00B73D54"/>
    <w:rsid w:val="00B7468E"/>
    <w:rsid w:val="00B76A44"/>
    <w:rsid w:val="00B76C6F"/>
    <w:rsid w:val="00B7715E"/>
    <w:rsid w:val="00B77F2D"/>
    <w:rsid w:val="00B819E0"/>
    <w:rsid w:val="00B81AC2"/>
    <w:rsid w:val="00B81F58"/>
    <w:rsid w:val="00B83640"/>
    <w:rsid w:val="00B837BE"/>
    <w:rsid w:val="00B83DE2"/>
    <w:rsid w:val="00B8517C"/>
    <w:rsid w:val="00B85CE8"/>
    <w:rsid w:val="00B8661A"/>
    <w:rsid w:val="00B91E12"/>
    <w:rsid w:val="00B92CD4"/>
    <w:rsid w:val="00B933A3"/>
    <w:rsid w:val="00B934B8"/>
    <w:rsid w:val="00B93EFA"/>
    <w:rsid w:val="00B9456E"/>
    <w:rsid w:val="00BA1B3C"/>
    <w:rsid w:val="00BA2C11"/>
    <w:rsid w:val="00BA337C"/>
    <w:rsid w:val="00BA549F"/>
    <w:rsid w:val="00BA68F1"/>
    <w:rsid w:val="00BA79D1"/>
    <w:rsid w:val="00BA7C3F"/>
    <w:rsid w:val="00BA7D72"/>
    <w:rsid w:val="00BB0097"/>
    <w:rsid w:val="00BB0C0B"/>
    <w:rsid w:val="00BB0E6F"/>
    <w:rsid w:val="00BB2A91"/>
    <w:rsid w:val="00BB2E63"/>
    <w:rsid w:val="00BB459C"/>
    <w:rsid w:val="00BB4EAA"/>
    <w:rsid w:val="00BB78BF"/>
    <w:rsid w:val="00BC00DD"/>
    <w:rsid w:val="00BC03C5"/>
    <w:rsid w:val="00BC054F"/>
    <w:rsid w:val="00BC1E8C"/>
    <w:rsid w:val="00BC3B1F"/>
    <w:rsid w:val="00BC561F"/>
    <w:rsid w:val="00BC5D24"/>
    <w:rsid w:val="00BC648E"/>
    <w:rsid w:val="00BC6A2E"/>
    <w:rsid w:val="00BC6E06"/>
    <w:rsid w:val="00BC7FE7"/>
    <w:rsid w:val="00BD0A27"/>
    <w:rsid w:val="00BD2D5B"/>
    <w:rsid w:val="00BD42C5"/>
    <w:rsid w:val="00BD4861"/>
    <w:rsid w:val="00BD7D14"/>
    <w:rsid w:val="00BE36B2"/>
    <w:rsid w:val="00BE7638"/>
    <w:rsid w:val="00BF1B5A"/>
    <w:rsid w:val="00BF2557"/>
    <w:rsid w:val="00BF285E"/>
    <w:rsid w:val="00BF2BC5"/>
    <w:rsid w:val="00BF3C30"/>
    <w:rsid w:val="00BF4BCB"/>
    <w:rsid w:val="00BF6328"/>
    <w:rsid w:val="00C01442"/>
    <w:rsid w:val="00C01518"/>
    <w:rsid w:val="00C022C5"/>
    <w:rsid w:val="00C02415"/>
    <w:rsid w:val="00C02516"/>
    <w:rsid w:val="00C03D5E"/>
    <w:rsid w:val="00C04139"/>
    <w:rsid w:val="00C07D75"/>
    <w:rsid w:val="00C10056"/>
    <w:rsid w:val="00C11513"/>
    <w:rsid w:val="00C12027"/>
    <w:rsid w:val="00C16430"/>
    <w:rsid w:val="00C166B2"/>
    <w:rsid w:val="00C201A1"/>
    <w:rsid w:val="00C20D50"/>
    <w:rsid w:val="00C20FD3"/>
    <w:rsid w:val="00C22D8E"/>
    <w:rsid w:val="00C24C8C"/>
    <w:rsid w:val="00C256AD"/>
    <w:rsid w:val="00C25EBC"/>
    <w:rsid w:val="00C30D4D"/>
    <w:rsid w:val="00C32402"/>
    <w:rsid w:val="00C32CB6"/>
    <w:rsid w:val="00C3484B"/>
    <w:rsid w:val="00C357E0"/>
    <w:rsid w:val="00C36E7F"/>
    <w:rsid w:val="00C37AF8"/>
    <w:rsid w:val="00C4001D"/>
    <w:rsid w:val="00C42827"/>
    <w:rsid w:val="00C433AB"/>
    <w:rsid w:val="00C43894"/>
    <w:rsid w:val="00C45E34"/>
    <w:rsid w:val="00C50734"/>
    <w:rsid w:val="00C510AF"/>
    <w:rsid w:val="00C51D12"/>
    <w:rsid w:val="00C52BDF"/>
    <w:rsid w:val="00C52F73"/>
    <w:rsid w:val="00C532F2"/>
    <w:rsid w:val="00C54BEA"/>
    <w:rsid w:val="00C5597F"/>
    <w:rsid w:val="00C55B6F"/>
    <w:rsid w:val="00C56310"/>
    <w:rsid w:val="00C56FDC"/>
    <w:rsid w:val="00C575CE"/>
    <w:rsid w:val="00C6084F"/>
    <w:rsid w:val="00C64722"/>
    <w:rsid w:val="00C654E0"/>
    <w:rsid w:val="00C663DF"/>
    <w:rsid w:val="00C66C06"/>
    <w:rsid w:val="00C66CCB"/>
    <w:rsid w:val="00C77474"/>
    <w:rsid w:val="00C80166"/>
    <w:rsid w:val="00C8170E"/>
    <w:rsid w:val="00C82D06"/>
    <w:rsid w:val="00C83303"/>
    <w:rsid w:val="00C85DA7"/>
    <w:rsid w:val="00C86739"/>
    <w:rsid w:val="00C92DDF"/>
    <w:rsid w:val="00C95863"/>
    <w:rsid w:val="00C97237"/>
    <w:rsid w:val="00C97C91"/>
    <w:rsid w:val="00CA4213"/>
    <w:rsid w:val="00CA4570"/>
    <w:rsid w:val="00CA6063"/>
    <w:rsid w:val="00CA680F"/>
    <w:rsid w:val="00CA6F9A"/>
    <w:rsid w:val="00CA7728"/>
    <w:rsid w:val="00CB1BA1"/>
    <w:rsid w:val="00CB2A42"/>
    <w:rsid w:val="00CB2EEC"/>
    <w:rsid w:val="00CB3898"/>
    <w:rsid w:val="00CB4CD3"/>
    <w:rsid w:val="00CB542C"/>
    <w:rsid w:val="00CB6B5B"/>
    <w:rsid w:val="00CB6F1F"/>
    <w:rsid w:val="00CB6F70"/>
    <w:rsid w:val="00CB7E00"/>
    <w:rsid w:val="00CC0859"/>
    <w:rsid w:val="00CC08F5"/>
    <w:rsid w:val="00CC134A"/>
    <w:rsid w:val="00CC2255"/>
    <w:rsid w:val="00CC3BC9"/>
    <w:rsid w:val="00CC4784"/>
    <w:rsid w:val="00CC48B0"/>
    <w:rsid w:val="00CC5B82"/>
    <w:rsid w:val="00CC6060"/>
    <w:rsid w:val="00CC6816"/>
    <w:rsid w:val="00CC68D7"/>
    <w:rsid w:val="00CC792F"/>
    <w:rsid w:val="00CC7C7A"/>
    <w:rsid w:val="00CD088F"/>
    <w:rsid w:val="00CD2613"/>
    <w:rsid w:val="00CD4597"/>
    <w:rsid w:val="00CD5D69"/>
    <w:rsid w:val="00CD6860"/>
    <w:rsid w:val="00CD71B3"/>
    <w:rsid w:val="00CD7C33"/>
    <w:rsid w:val="00CE1000"/>
    <w:rsid w:val="00CE272A"/>
    <w:rsid w:val="00CE295D"/>
    <w:rsid w:val="00CE5EA8"/>
    <w:rsid w:val="00CF01B2"/>
    <w:rsid w:val="00CF03A6"/>
    <w:rsid w:val="00CF1245"/>
    <w:rsid w:val="00CF290E"/>
    <w:rsid w:val="00CF4930"/>
    <w:rsid w:val="00CF7351"/>
    <w:rsid w:val="00CF73A7"/>
    <w:rsid w:val="00D03F51"/>
    <w:rsid w:val="00D04172"/>
    <w:rsid w:val="00D04520"/>
    <w:rsid w:val="00D058F2"/>
    <w:rsid w:val="00D079BA"/>
    <w:rsid w:val="00D07DA7"/>
    <w:rsid w:val="00D14022"/>
    <w:rsid w:val="00D1632E"/>
    <w:rsid w:val="00D16658"/>
    <w:rsid w:val="00D16B31"/>
    <w:rsid w:val="00D1756E"/>
    <w:rsid w:val="00D20856"/>
    <w:rsid w:val="00D21600"/>
    <w:rsid w:val="00D23902"/>
    <w:rsid w:val="00D3120E"/>
    <w:rsid w:val="00D31575"/>
    <w:rsid w:val="00D32549"/>
    <w:rsid w:val="00D36072"/>
    <w:rsid w:val="00D37552"/>
    <w:rsid w:val="00D40923"/>
    <w:rsid w:val="00D41881"/>
    <w:rsid w:val="00D45944"/>
    <w:rsid w:val="00D45A17"/>
    <w:rsid w:val="00D5067E"/>
    <w:rsid w:val="00D508E0"/>
    <w:rsid w:val="00D510F3"/>
    <w:rsid w:val="00D517B7"/>
    <w:rsid w:val="00D51FD1"/>
    <w:rsid w:val="00D5240D"/>
    <w:rsid w:val="00D52AE1"/>
    <w:rsid w:val="00D54524"/>
    <w:rsid w:val="00D56E50"/>
    <w:rsid w:val="00D57C07"/>
    <w:rsid w:val="00D6000B"/>
    <w:rsid w:val="00D614ED"/>
    <w:rsid w:val="00D61E95"/>
    <w:rsid w:val="00D655F3"/>
    <w:rsid w:val="00D67909"/>
    <w:rsid w:val="00D67FF0"/>
    <w:rsid w:val="00D71D04"/>
    <w:rsid w:val="00D722D6"/>
    <w:rsid w:val="00D72E74"/>
    <w:rsid w:val="00D73A1D"/>
    <w:rsid w:val="00D74E54"/>
    <w:rsid w:val="00D76C96"/>
    <w:rsid w:val="00D77F8E"/>
    <w:rsid w:val="00D82EAD"/>
    <w:rsid w:val="00D82FC8"/>
    <w:rsid w:val="00D837AF"/>
    <w:rsid w:val="00D83CCD"/>
    <w:rsid w:val="00D85335"/>
    <w:rsid w:val="00D85A77"/>
    <w:rsid w:val="00D86E62"/>
    <w:rsid w:val="00D87AB1"/>
    <w:rsid w:val="00D90395"/>
    <w:rsid w:val="00D90B91"/>
    <w:rsid w:val="00D9133C"/>
    <w:rsid w:val="00D9245E"/>
    <w:rsid w:val="00D925EC"/>
    <w:rsid w:val="00D932F4"/>
    <w:rsid w:val="00D93AEB"/>
    <w:rsid w:val="00D944BC"/>
    <w:rsid w:val="00D96CB6"/>
    <w:rsid w:val="00D975DA"/>
    <w:rsid w:val="00D97F57"/>
    <w:rsid w:val="00DA03CA"/>
    <w:rsid w:val="00DA0901"/>
    <w:rsid w:val="00DA0AC0"/>
    <w:rsid w:val="00DA1570"/>
    <w:rsid w:val="00DA1D1A"/>
    <w:rsid w:val="00DA1DE2"/>
    <w:rsid w:val="00DA23DF"/>
    <w:rsid w:val="00DA2D05"/>
    <w:rsid w:val="00DA3E68"/>
    <w:rsid w:val="00DA48A8"/>
    <w:rsid w:val="00DA4DEB"/>
    <w:rsid w:val="00DA4ECD"/>
    <w:rsid w:val="00DA5367"/>
    <w:rsid w:val="00DA6102"/>
    <w:rsid w:val="00DA6AA5"/>
    <w:rsid w:val="00DA6C94"/>
    <w:rsid w:val="00DB0AF0"/>
    <w:rsid w:val="00DB0C91"/>
    <w:rsid w:val="00DB13A1"/>
    <w:rsid w:val="00DB21E8"/>
    <w:rsid w:val="00DB2361"/>
    <w:rsid w:val="00DB6B24"/>
    <w:rsid w:val="00DC0EB2"/>
    <w:rsid w:val="00DC143F"/>
    <w:rsid w:val="00DC1B21"/>
    <w:rsid w:val="00DC1FB6"/>
    <w:rsid w:val="00DC23D1"/>
    <w:rsid w:val="00DC2CE3"/>
    <w:rsid w:val="00DC328A"/>
    <w:rsid w:val="00DC361E"/>
    <w:rsid w:val="00DC5551"/>
    <w:rsid w:val="00DC790D"/>
    <w:rsid w:val="00DD01F0"/>
    <w:rsid w:val="00DD0529"/>
    <w:rsid w:val="00DD0658"/>
    <w:rsid w:val="00DD07B3"/>
    <w:rsid w:val="00DD29BF"/>
    <w:rsid w:val="00DD5F20"/>
    <w:rsid w:val="00DE3A23"/>
    <w:rsid w:val="00DE3DD0"/>
    <w:rsid w:val="00DE4F36"/>
    <w:rsid w:val="00DE5532"/>
    <w:rsid w:val="00DE60BB"/>
    <w:rsid w:val="00DE7009"/>
    <w:rsid w:val="00DE72CD"/>
    <w:rsid w:val="00DE7479"/>
    <w:rsid w:val="00DE7E92"/>
    <w:rsid w:val="00DF21B2"/>
    <w:rsid w:val="00DF2B5B"/>
    <w:rsid w:val="00E00015"/>
    <w:rsid w:val="00E00CCA"/>
    <w:rsid w:val="00E02B32"/>
    <w:rsid w:val="00E02DF6"/>
    <w:rsid w:val="00E03410"/>
    <w:rsid w:val="00E03D71"/>
    <w:rsid w:val="00E04A71"/>
    <w:rsid w:val="00E102BE"/>
    <w:rsid w:val="00E1124D"/>
    <w:rsid w:val="00E13C81"/>
    <w:rsid w:val="00E13D9F"/>
    <w:rsid w:val="00E215FD"/>
    <w:rsid w:val="00E22EAE"/>
    <w:rsid w:val="00E246FB"/>
    <w:rsid w:val="00E24C51"/>
    <w:rsid w:val="00E30096"/>
    <w:rsid w:val="00E300D2"/>
    <w:rsid w:val="00E31F09"/>
    <w:rsid w:val="00E4145D"/>
    <w:rsid w:val="00E42899"/>
    <w:rsid w:val="00E44379"/>
    <w:rsid w:val="00E44D99"/>
    <w:rsid w:val="00E455A7"/>
    <w:rsid w:val="00E468D3"/>
    <w:rsid w:val="00E47647"/>
    <w:rsid w:val="00E479CE"/>
    <w:rsid w:val="00E531E8"/>
    <w:rsid w:val="00E53805"/>
    <w:rsid w:val="00E539DF"/>
    <w:rsid w:val="00E55493"/>
    <w:rsid w:val="00E56654"/>
    <w:rsid w:val="00E57EF1"/>
    <w:rsid w:val="00E61426"/>
    <w:rsid w:val="00E620CB"/>
    <w:rsid w:val="00E62F06"/>
    <w:rsid w:val="00E63FB4"/>
    <w:rsid w:val="00E6645D"/>
    <w:rsid w:val="00E67069"/>
    <w:rsid w:val="00E67D3F"/>
    <w:rsid w:val="00E67DBE"/>
    <w:rsid w:val="00E7183E"/>
    <w:rsid w:val="00E744BD"/>
    <w:rsid w:val="00E74D48"/>
    <w:rsid w:val="00E7648D"/>
    <w:rsid w:val="00E77D0C"/>
    <w:rsid w:val="00E77E92"/>
    <w:rsid w:val="00E8005C"/>
    <w:rsid w:val="00E80CA6"/>
    <w:rsid w:val="00E8114A"/>
    <w:rsid w:val="00E8131F"/>
    <w:rsid w:val="00E820BA"/>
    <w:rsid w:val="00E827CB"/>
    <w:rsid w:val="00E85303"/>
    <w:rsid w:val="00E85B4E"/>
    <w:rsid w:val="00E85FD2"/>
    <w:rsid w:val="00E86D3A"/>
    <w:rsid w:val="00E86FDE"/>
    <w:rsid w:val="00E91427"/>
    <w:rsid w:val="00E916CF"/>
    <w:rsid w:val="00E928CC"/>
    <w:rsid w:val="00E965D4"/>
    <w:rsid w:val="00E9716A"/>
    <w:rsid w:val="00E97CAC"/>
    <w:rsid w:val="00EA0661"/>
    <w:rsid w:val="00EA200D"/>
    <w:rsid w:val="00EA576D"/>
    <w:rsid w:val="00EA5855"/>
    <w:rsid w:val="00EA666A"/>
    <w:rsid w:val="00EB1261"/>
    <w:rsid w:val="00EB1840"/>
    <w:rsid w:val="00EB1A2B"/>
    <w:rsid w:val="00EB1D49"/>
    <w:rsid w:val="00EB2133"/>
    <w:rsid w:val="00EB3F43"/>
    <w:rsid w:val="00EB3FD6"/>
    <w:rsid w:val="00EB4872"/>
    <w:rsid w:val="00EB679D"/>
    <w:rsid w:val="00EC1C0E"/>
    <w:rsid w:val="00EC236E"/>
    <w:rsid w:val="00EC3873"/>
    <w:rsid w:val="00EC3F28"/>
    <w:rsid w:val="00EC42CC"/>
    <w:rsid w:val="00EC5143"/>
    <w:rsid w:val="00EC5430"/>
    <w:rsid w:val="00ED02AE"/>
    <w:rsid w:val="00ED06D1"/>
    <w:rsid w:val="00ED1711"/>
    <w:rsid w:val="00ED1BCB"/>
    <w:rsid w:val="00ED1E7D"/>
    <w:rsid w:val="00ED221E"/>
    <w:rsid w:val="00ED4972"/>
    <w:rsid w:val="00ED6296"/>
    <w:rsid w:val="00ED6FCA"/>
    <w:rsid w:val="00ED7086"/>
    <w:rsid w:val="00EE18B3"/>
    <w:rsid w:val="00EE4C7A"/>
    <w:rsid w:val="00EE550D"/>
    <w:rsid w:val="00EE6B36"/>
    <w:rsid w:val="00EF0957"/>
    <w:rsid w:val="00EF1F7D"/>
    <w:rsid w:val="00EF263D"/>
    <w:rsid w:val="00EF3913"/>
    <w:rsid w:val="00EF478E"/>
    <w:rsid w:val="00EF4C9B"/>
    <w:rsid w:val="00EF6F5E"/>
    <w:rsid w:val="00F02A40"/>
    <w:rsid w:val="00F051B1"/>
    <w:rsid w:val="00F07447"/>
    <w:rsid w:val="00F07BA4"/>
    <w:rsid w:val="00F07FD9"/>
    <w:rsid w:val="00F106B1"/>
    <w:rsid w:val="00F12F39"/>
    <w:rsid w:val="00F14777"/>
    <w:rsid w:val="00F1590F"/>
    <w:rsid w:val="00F16463"/>
    <w:rsid w:val="00F16474"/>
    <w:rsid w:val="00F20177"/>
    <w:rsid w:val="00F208FE"/>
    <w:rsid w:val="00F20A2F"/>
    <w:rsid w:val="00F20C83"/>
    <w:rsid w:val="00F211AD"/>
    <w:rsid w:val="00F23949"/>
    <w:rsid w:val="00F24A05"/>
    <w:rsid w:val="00F25A16"/>
    <w:rsid w:val="00F265A1"/>
    <w:rsid w:val="00F26F69"/>
    <w:rsid w:val="00F3038D"/>
    <w:rsid w:val="00F3057D"/>
    <w:rsid w:val="00F32AD5"/>
    <w:rsid w:val="00F334C5"/>
    <w:rsid w:val="00F33F48"/>
    <w:rsid w:val="00F346B1"/>
    <w:rsid w:val="00F350F8"/>
    <w:rsid w:val="00F35477"/>
    <w:rsid w:val="00F35B12"/>
    <w:rsid w:val="00F3608F"/>
    <w:rsid w:val="00F36394"/>
    <w:rsid w:val="00F37630"/>
    <w:rsid w:val="00F377CA"/>
    <w:rsid w:val="00F3783E"/>
    <w:rsid w:val="00F41233"/>
    <w:rsid w:val="00F4127E"/>
    <w:rsid w:val="00F416F1"/>
    <w:rsid w:val="00F41829"/>
    <w:rsid w:val="00F43537"/>
    <w:rsid w:val="00F44FF5"/>
    <w:rsid w:val="00F45DE6"/>
    <w:rsid w:val="00F505C1"/>
    <w:rsid w:val="00F508EB"/>
    <w:rsid w:val="00F50AB8"/>
    <w:rsid w:val="00F50EE4"/>
    <w:rsid w:val="00F514F5"/>
    <w:rsid w:val="00F51693"/>
    <w:rsid w:val="00F51D16"/>
    <w:rsid w:val="00F51F54"/>
    <w:rsid w:val="00F53AA0"/>
    <w:rsid w:val="00F53EE0"/>
    <w:rsid w:val="00F54BBA"/>
    <w:rsid w:val="00F554CE"/>
    <w:rsid w:val="00F55DDC"/>
    <w:rsid w:val="00F567EE"/>
    <w:rsid w:val="00F60F07"/>
    <w:rsid w:val="00F636BD"/>
    <w:rsid w:val="00F6406B"/>
    <w:rsid w:val="00F6485C"/>
    <w:rsid w:val="00F65808"/>
    <w:rsid w:val="00F7031D"/>
    <w:rsid w:val="00F70763"/>
    <w:rsid w:val="00F70E2F"/>
    <w:rsid w:val="00F73CCA"/>
    <w:rsid w:val="00F73E61"/>
    <w:rsid w:val="00F7525A"/>
    <w:rsid w:val="00F75643"/>
    <w:rsid w:val="00F761F4"/>
    <w:rsid w:val="00F77224"/>
    <w:rsid w:val="00F774E8"/>
    <w:rsid w:val="00F805E1"/>
    <w:rsid w:val="00F806AC"/>
    <w:rsid w:val="00F8114D"/>
    <w:rsid w:val="00F81542"/>
    <w:rsid w:val="00F81599"/>
    <w:rsid w:val="00F81D49"/>
    <w:rsid w:val="00F82499"/>
    <w:rsid w:val="00F8259B"/>
    <w:rsid w:val="00F82B5D"/>
    <w:rsid w:val="00F85C5C"/>
    <w:rsid w:val="00F8760A"/>
    <w:rsid w:val="00F9045F"/>
    <w:rsid w:val="00F90976"/>
    <w:rsid w:val="00F91135"/>
    <w:rsid w:val="00F9279E"/>
    <w:rsid w:val="00F94EAE"/>
    <w:rsid w:val="00F9509F"/>
    <w:rsid w:val="00F951B2"/>
    <w:rsid w:val="00F95F19"/>
    <w:rsid w:val="00F96C79"/>
    <w:rsid w:val="00F975C9"/>
    <w:rsid w:val="00FA3ACF"/>
    <w:rsid w:val="00FA620D"/>
    <w:rsid w:val="00FA6F70"/>
    <w:rsid w:val="00FA7BFF"/>
    <w:rsid w:val="00FB28F4"/>
    <w:rsid w:val="00FB306F"/>
    <w:rsid w:val="00FB3B11"/>
    <w:rsid w:val="00FB5B87"/>
    <w:rsid w:val="00FC05AA"/>
    <w:rsid w:val="00FC1143"/>
    <w:rsid w:val="00FC22AD"/>
    <w:rsid w:val="00FC2EA3"/>
    <w:rsid w:val="00FC658B"/>
    <w:rsid w:val="00FC67CB"/>
    <w:rsid w:val="00FC6BB5"/>
    <w:rsid w:val="00FD0D3B"/>
    <w:rsid w:val="00FD21B3"/>
    <w:rsid w:val="00FD257A"/>
    <w:rsid w:val="00FD4C2E"/>
    <w:rsid w:val="00FD542D"/>
    <w:rsid w:val="00FE06BB"/>
    <w:rsid w:val="00FE2702"/>
    <w:rsid w:val="00FE3383"/>
    <w:rsid w:val="00FE4C20"/>
    <w:rsid w:val="00FE5025"/>
    <w:rsid w:val="00FE5373"/>
    <w:rsid w:val="00FE7449"/>
    <w:rsid w:val="00FF0454"/>
    <w:rsid w:val="00FF04D8"/>
    <w:rsid w:val="00FF05C8"/>
    <w:rsid w:val="00FF0FEB"/>
    <w:rsid w:val="00FF11B8"/>
    <w:rsid w:val="00FF24DD"/>
    <w:rsid w:val="00FF31F6"/>
    <w:rsid w:val="00FF325D"/>
    <w:rsid w:val="02145726"/>
    <w:rsid w:val="03474010"/>
    <w:rsid w:val="05F36C81"/>
    <w:rsid w:val="0676152E"/>
    <w:rsid w:val="073F75B0"/>
    <w:rsid w:val="0AD34923"/>
    <w:rsid w:val="0B8120E5"/>
    <w:rsid w:val="0C354C94"/>
    <w:rsid w:val="0E3B40E5"/>
    <w:rsid w:val="111C0E85"/>
    <w:rsid w:val="11E522FD"/>
    <w:rsid w:val="1A4A05A9"/>
    <w:rsid w:val="1AB446DD"/>
    <w:rsid w:val="1CAF4CC7"/>
    <w:rsid w:val="1EF47FF9"/>
    <w:rsid w:val="1FFB0986"/>
    <w:rsid w:val="21AB4E78"/>
    <w:rsid w:val="222A55BD"/>
    <w:rsid w:val="224B5D17"/>
    <w:rsid w:val="256C30BC"/>
    <w:rsid w:val="25970CBA"/>
    <w:rsid w:val="269D4D13"/>
    <w:rsid w:val="28F61640"/>
    <w:rsid w:val="2933422A"/>
    <w:rsid w:val="29BE3608"/>
    <w:rsid w:val="2C91601D"/>
    <w:rsid w:val="2CBA3414"/>
    <w:rsid w:val="2E015B7F"/>
    <w:rsid w:val="31C37EF0"/>
    <w:rsid w:val="33E62638"/>
    <w:rsid w:val="35231940"/>
    <w:rsid w:val="35B6049F"/>
    <w:rsid w:val="371001AD"/>
    <w:rsid w:val="384E7D14"/>
    <w:rsid w:val="389F7E73"/>
    <w:rsid w:val="3B006358"/>
    <w:rsid w:val="3DC9681A"/>
    <w:rsid w:val="40597456"/>
    <w:rsid w:val="40B75A8F"/>
    <w:rsid w:val="412A0477"/>
    <w:rsid w:val="41EE39B2"/>
    <w:rsid w:val="435E22A4"/>
    <w:rsid w:val="438C0C73"/>
    <w:rsid w:val="43E46DC3"/>
    <w:rsid w:val="452D5F09"/>
    <w:rsid w:val="45BF376C"/>
    <w:rsid w:val="460223FC"/>
    <w:rsid w:val="460C3774"/>
    <w:rsid w:val="4689565C"/>
    <w:rsid w:val="46C6400A"/>
    <w:rsid w:val="498816FE"/>
    <w:rsid w:val="4D6E5CB0"/>
    <w:rsid w:val="4E85035F"/>
    <w:rsid w:val="4E9C4406"/>
    <w:rsid w:val="4F5D38A8"/>
    <w:rsid w:val="509D090C"/>
    <w:rsid w:val="50A6646F"/>
    <w:rsid w:val="51BF47E1"/>
    <w:rsid w:val="521C2E19"/>
    <w:rsid w:val="54637DFF"/>
    <w:rsid w:val="55F90BD4"/>
    <w:rsid w:val="56D156EE"/>
    <w:rsid w:val="58475C42"/>
    <w:rsid w:val="5BAD03A6"/>
    <w:rsid w:val="5BD601D3"/>
    <w:rsid w:val="5CF80ABC"/>
    <w:rsid w:val="600B7603"/>
    <w:rsid w:val="611F2767"/>
    <w:rsid w:val="623D6AC0"/>
    <w:rsid w:val="632B1343"/>
    <w:rsid w:val="632E56DC"/>
    <w:rsid w:val="641D1292"/>
    <w:rsid w:val="68B012A1"/>
    <w:rsid w:val="690358AA"/>
    <w:rsid w:val="6A000287"/>
    <w:rsid w:val="6A734746"/>
    <w:rsid w:val="6B531E22"/>
    <w:rsid w:val="6B677D61"/>
    <w:rsid w:val="6CD52FC7"/>
    <w:rsid w:val="724E1851"/>
    <w:rsid w:val="72F57843"/>
    <w:rsid w:val="7388529A"/>
    <w:rsid w:val="73AB1DFD"/>
    <w:rsid w:val="76162EAF"/>
    <w:rsid w:val="766A7551"/>
    <w:rsid w:val="7C661E25"/>
    <w:rsid w:val="7C717C59"/>
    <w:rsid w:val="7E1F1538"/>
    <w:rsid w:val="7ED9134D"/>
    <w:rsid w:val="7F0D3A43"/>
    <w:rsid w:val="7FAF00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43"/>
    <w:qFormat/>
    <w:uiPriority w:val="99"/>
    <w:pPr>
      <w:shd w:val="clear" w:color="auto" w:fill="000080"/>
    </w:pPr>
    <w:rPr>
      <w:szCs w:val="24"/>
    </w:rPr>
  </w:style>
  <w:style w:type="paragraph" w:styleId="7">
    <w:name w:val="annotation text"/>
    <w:basedOn w:val="1"/>
    <w:semiHidden/>
    <w:unhideWhenUsed/>
    <w:qFormat/>
    <w:uiPriority w:val="99"/>
    <w:pPr>
      <w:jc w:val="left"/>
    </w:pPr>
  </w:style>
  <w:style w:type="paragraph" w:styleId="8">
    <w:name w:val="Body Text"/>
    <w:basedOn w:val="1"/>
    <w:unhideWhenUsed/>
    <w:qFormat/>
    <w:uiPriority w:val="99"/>
    <w:rPr>
      <w:sz w:val="24"/>
    </w:rPr>
  </w:style>
  <w:style w:type="paragraph" w:styleId="9">
    <w:name w:val="Body Text Indent"/>
    <w:unhideWhenUsed/>
    <w:qFormat/>
    <w:uiPriority w:val="99"/>
    <w:pPr>
      <w:spacing w:after="120"/>
      <w:ind w:left="42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styleId="10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1">
    <w:name w:val="Date"/>
    <w:basedOn w:val="1"/>
    <w:next w:val="1"/>
    <w:link w:val="35"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37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unhideWhenUsed/>
    <w:qFormat/>
    <w:uiPriority w:val="39"/>
  </w:style>
  <w:style w:type="paragraph" w:styleId="16">
    <w:name w:val="toc 2"/>
    <w:basedOn w:val="1"/>
    <w:next w:val="1"/>
    <w:unhideWhenUsed/>
    <w:qFormat/>
    <w:uiPriority w:val="39"/>
    <w:pPr>
      <w:ind w:left="420" w:leftChars="200"/>
    </w:pPr>
  </w:style>
  <w:style w:type="table" w:styleId="18">
    <w:name w:val="Table Grid"/>
    <w:basedOn w:val="17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</w:rPr>
  </w:style>
  <w:style w:type="character" w:styleId="21">
    <w:name w:val="page number"/>
    <w:basedOn w:val="19"/>
    <w:unhideWhenUsed/>
    <w:qFormat/>
    <w:uiPriority w:val="99"/>
  </w:style>
  <w:style w:type="character" w:styleId="22">
    <w:name w:val="Hyperlink"/>
    <w:basedOn w:val="19"/>
    <w:unhideWhenUsed/>
    <w:qFormat/>
    <w:uiPriority w:val="99"/>
    <w:rPr>
      <w:color w:val="0000FF" w:themeColor="hyperlink"/>
      <w:u w:val="single"/>
    </w:rPr>
  </w:style>
  <w:style w:type="character" w:styleId="23">
    <w:name w:val="annotation reference"/>
    <w:basedOn w:val="19"/>
    <w:semiHidden/>
    <w:unhideWhenUsed/>
    <w:qFormat/>
    <w:uiPriority w:val="99"/>
    <w:rPr>
      <w:sz w:val="21"/>
      <w:szCs w:val="21"/>
    </w:rPr>
  </w:style>
  <w:style w:type="paragraph" w:customStyle="1" w:styleId="24">
    <w:name w:val="样式2"/>
    <w:basedOn w:val="1"/>
    <w:link w:val="36"/>
    <w:qFormat/>
    <w:uiPriority w:val="0"/>
    <w:pPr>
      <w:ind w:firstLine="200" w:firstLineChars="200"/>
    </w:pPr>
    <w:rPr>
      <w:rFonts w:ascii="仿宋" w:hAnsi="仿宋" w:eastAsia="仿宋" w:cs="仿宋"/>
      <w:sz w:val="28"/>
      <w:szCs w:val="28"/>
    </w:rPr>
  </w:style>
  <w:style w:type="paragraph" w:customStyle="1" w:styleId="25">
    <w:name w:val="123"/>
    <w:basedOn w:val="1"/>
    <w:link w:val="39"/>
    <w:qFormat/>
    <w:uiPriority w:val="0"/>
    <w:pPr>
      <w:spacing w:line="400" w:lineRule="exact"/>
      <w:jc w:val="center"/>
    </w:pPr>
    <w:rPr>
      <w:rFonts w:ascii="仿宋_GB2312" w:hAnsi="宋体" w:eastAsia="仿宋_GB2312" w:cs="宋体"/>
      <w:color w:val="000000"/>
      <w:spacing w:val="-20"/>
      <w:sz w:val="24"/>
      <w:szCs w:val="24"/>
    </w:rPr>
  </w:style>
  <w:style w:type="paragraph" w:customStyle="1" w:styleId="26">
    <w:name w:val="_Style 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27">
    <w:name w:val="111"/>
    <w:basedOn w:val="1"/>
    <w:link w:val="32"/>
    <w:qFormat/>
    <w:uiPriority w:val="0"/>
    <w:pPr>
      <w:spacing w:line="300" w:lineRule="exact"/>
      <w:jc w:val="center"/>
    </w:pPr>
    <w:rPr>
      <w:rFonts w:ascii="仿宋_GB2312" w:hAnsi="宋体" w:eastAsia="仿宋_GB2312" w:cs="宋体"/>
      <w:color w:val="000000"/>
      <w:spacing w:val="-40"/>
      <w:sz w:val="24"/>
      <w:szCs w:val="24"/>
    </w:rPr>
  </w:style>
  <w:style w:type="paragraph" w:customStyle="1" w:styleId="28">
    <w:name w:val="_Style 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29">
    <w:name w:val="样式1"/>
    <w:basedOn w:val="1"/>
    <w:link w:val="38"/>
    <w:qFormat/>
    <w:uiPriority w:val="0"/>
    <w:pPr>
      <w:numPr>
        <w:ilvl w:val="0"/>
        <w:numId w:val="1"/>
      </w:numPr>
    </w:pPr>
    <w:rPr>
      <w:rFonts w:ascii="黑体" w:hAnsi="黑体" w:eastAsia="黑体" w:cs="仿宋"/>
      <w:sz w:val="28"/>
      <w:szCs w:val="28"/>
    </w:rPr>
  </w:style>
  <w:style w:type="paragraph" w:customStyle="1" w:styleId="30">
    <w:name w:val="02"/>
    <w:basedOn w:val="29"/>
    <w:link w:val="40"/>
    <w:qFormat/>
    <w:uiPriority w:val="0"/>
    <w:pPr>
      <w:numPr>
        <w:ilvl w:val="0"/>
        <w:numId w:val="0"/>
      </w:numPr>
      <w:spacing w:line="276" w:lineRule="auto"/>
      <w:ind w:left="426"/>
    </w:pPr>
    <w:rPr>
      <w:color w:val="000000"/>
      <w:sz w:val="24"/>
      <w:szCs w:val="24"/>
    </w:rPr>
  </w:style>
  <w:style w:type="paragraph" w:customStyle="1" w:styleId="31">
    <w:name w:val="12345"/>
    <w:basedOn w:val="29"/>
    <w:link w:val="33"/>
    <w:qFormat/>
    <w:uiPriority w:val="0"/>
    <w:pPr>
      <w:numPr>
        <w:numId w:val="0"/>
      </w:numPr>
      <w:spacing w:line="400" w:lineRule="exact"/>
      <w:ind w:left="467"/>
    </w:pPr>
    <w:rPr>
      <w:color w:val="000000"/>
      <w:sz w:val="24"/>
      <w:szCs w:val="24"/>
    </w:rPr>
  </w:style>
  <w:style w:type="character" w:customStyle="1" w:styleId="32">
    <w:name w:val="111 Char"/>
    <w:link w:val="27"/>
    <w:qFormat/>
    <w:uiPriority w:val="0"/>
    <w:rPr>
      <w:rFonts w:ascii="仿宋_GB2312" w:hAnsi="宋体" w:eastAsia="仿宋_GB2312" w:cs="宋体"/>
      <w:color w:val="000000"/>
      <w:spacing w:val="-40"/>
      <w:kern w:val="2"/>
      <w:sz w:val="24"/>
      <w:szCs w:val="24"/>
    </w:rPr>
  </w:style>
  <w:style w:type="character" w:customStyle="1" w:styleId="33">
    <w:name w:val="12345 Char"/>
    <w:link w:val="31"/>
    <w:qFormat/>
    <w:uiPriority w:val="0"/>
    <w:rPr>
      <w:rFonts w:ascii="黑体" w:hAnsi="黑体" w:eastAsia="黑体" w:cs="仿宋"/>
      <w:color w:val="000000"/>
      <w:kern w:val="2"/>
      <w:sz w:val="24"/>
      <w:szCs w:val="24"/>
    </w:rPr>
  </w:style>
  <w:style w:type="character" w:customStyle="1" w:styleId="34">
    <w:name w:val="页脚 Char"/>
    <w:link w:val="13"/>
    <w:qFormat/>
    <w:uiPriority w:val="99"/>
    <w:rPr>
      <w:kern w:val="2"/>
      <w:sz w:val="18"/>
      <w:szCs w:val="18"/>
    </w:rPr>
  </w:style>
  <w:style w:type="character" w:customStyle="1" w:styleId="35">
    <w:name w:val="日期 Char"/>
    <w:link w:val="11"/>
    <w:semiHidden/>
    <w:qFormat/>
    <w:uiPriority w:val="99"/>
    <w:rPr>
      <w:kern w:val="2"/>
      <w:sz w:val="21"/>
    </w:rPr>
  </w:style>
  <w:style w:type="character" w:customStyle="1" w:styleId="36">
    <w:name w:val="样式2 Char"/>
    <w:link w:val="24"/>
    <w:qFormat/>
    <w:uiPriority w:val="0"/>
    <w:rPr>
      <w:rFonts w:ascii="仿宋" w:hAnsi="仿宋" w:eastAsia="仿宋" w:cs="仿宋"/>
      <w:kern w:val="2"/>
      <w:sz w:val="28"/>
      <w:szCs w:val="28"/>
    </w:rPr>
  </w:style>
  <w:style w:type="character" w:customStyle="1" w:styleId="37">
    <w:name w:val="批注框文本 Char"/>
    <w:link w:val="12"/>
    <w:semiHidden/>
    <w:qFormat/>
    <w:uiPriority w:val="99"/>
    <w:rPr>
      <w:kern w:val="2"/>
      <w:sz w:val="18"/>
      <w:szCs w:val="18"/>
    </w:rPr>
  </w:style>
  <w:style w:type="character" w:customStyle="1" w:styleId="38">
    <w:name w:val="样式1 Char"/>
    <w:link w:val="29"/>
    <w:qFormat/>
    <w:uiPriority w:val="0"/>
    <w:rPr>
      <w:rFonts w:ascii="黑体" w:hAnsi="黑体" w:eastAsia="黑体" w:cs="仿宋"/>
      <w:kern w:val="2"/>
      <w:sz w:val="28"/>
      <w:szCs w:val="28"/>
    </w:rPr>
  </w:style>
  <w:style w:type="character" w:customStyle="1" w:styleId="39">
    <w:name w:val="123 Char"/>
    <w:link w:val="25"/>
    <w:qFormat/>
    <w:uiPriority w:val="0"/>
    <w:rPr>
      <w:rFonts w:ascii="仿宋_GB2312" w:hAnsi="宋体" w:eastAsia="仿宋_GB2312" w:cs="宋体"/>
      <w:color w:val="000000"/>
      <w:spacing w:val="-20"/>
      <w:kern w:val="2"/>
      <w:sz w:val="24"/>
      <w:szCs w:val="24"/>
    </w:rPr>
  </w:style>
  <w:style w:type="character" w:customStyle="1" w:styleId="40">
    <w:name w:val="02 Char"/>
    <w:link w:val="30"/>
    <w:qFormat/>
    <w:uiPriority w:val="0"/>
    <w:rPr>
      <w:rFonts w:ascii="黑体" w:hAnsi="黑体" w:eastAsia="黑体" w:cs="仿宋"/>
      <w:color w:val="000000"/>
      <w:kern w:val="2"/>
      <w:sz w:val="24"/>
      <w:szCs w:val="24"/>
    </w:rPr>
  </w:style>
  <w:style w:type="paragraph" w:customStyle="1" w:styleId="41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color w:val="366091" w:themeColor="accent1" w:themeShade="BF"/>
      <w:kern w:val="0"/>
      <w:sz w:val="32"/>
      <w:szCs w:val="32"/>
    </w:rPr>
  </w:style>
  <w:style w:type="paragraph" w:styleId="42">
    <w:name w:val="List Paragraph"/>
    <w:basedOn w:val="1"/>
    <w:qFormat/>
    <w:uiPriority w:val="99"/>
    <w:pPr>
      <w:ind w:firstLine="420" w:firstLineChars="200"/>
    </w:pPr>
  </w:style>
  <w:style w:type="character" w:customStyle="1" w:styleId="43">
    <w:name w:val="文档结构图 Char"/>
    <w:basedOn w:val="19"/>
    <w:link w:val="6"/>
    <w:qFormat/>
    <w:uiPriority w:val="99"/>
    <w:rPr>
      <w:kern w:val="2"/>
      <w:sz w:val="21"/>
      <w:szCs w:val="24"/>
      <w:shd w:val="clear" w:color="auto" w:fill="000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30C80-CA19-41E4-B82A-81E8E34421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SDWM</Company>
  <Pages>22</Pages>
  <Words>2146</Words>
  <Characters>12237</Characters>
  <Lines>101</Lines>
  <Paragraphs>28</Paragraphs>
  <TotalTime>1258</TotalTime>
  <ScaleCrop>false</ScaleCrop>
  <LinksUpToDate>false</LinksUpToDate>
  <CharactersWithSpaces>14355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2021-09-26T07:32:00Z</dcterms:created>
  <dc:creator>Administrator</dc:creator>
  <cp:lastModifiedBy>我爱工作工作爱我</cp:lastModifiedBy>
  <cp:lastPrinted>2021-10-04T10:13:00Z</cp:lastPrinted>
  <dcterms:modified xsi:type="dcterms:W3CDTF">2022-04-25T08:35:31Z</dcterms:modified>
  <dc:title>关于做好2015年中高等职业教育衔接试点工作的通知</dc:title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F5BCF6EE240240D8B375F62E1E82B407</vt:lpwstr>
  </property>
</Properties>
</file>